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E94324">
        <w:trPr>
          <w:trHeight w:val="3534"/>
        </w:trPr>
        <w:tc>
          <w:tcPr>
            <w:tcW w:w="5211" w:type="dxa"/>
            <w:shd w:val="clear" w:color="auto" w:fill="auto"/>
          </w:tcPr>
          <w:p w:rsidR="00AD7AEA" w:rsidRPr="00E94324" w:rsidRDefault="00C64197" w:rsidP="0072342E">
            <w:pPr>
              <w:framePr w:hSpace="180" w:wrap="auto" w:vAnchor="page" w:hAnchor="margin" w:x="358" w:y="905"/>
              <w:ind w:left="257" w:hanging="257"/>
              <w:rPr>
                <w:szCs w:val="24"/>
              </w:rPr>
            </w:pPr>
            <w:r w:rsidRPr="00E94324">
              <w:rPr>
                <w:szCs w:val="24"/>
              </w:rPr>
              <w:t xml:space="preserve">  </w:t>
            </w:r>
            <w:r w:rsidR="001418F4" w:rsidRPr="00E94324">
              <w:rPr>
                <w:szCs w:val="24"/>
              </w:rPr>
              <w:t xml:space="preserve"> </w:t>
            </w:r>
            <w:r w:rsidR="00043A9A" w:rsidRPr="00E94324">
              <w:rPr>
                <w:szCs w:val="24"/>
              </w:rPr>
              <w:t xml:space="preserve"> </w:t>
            </w:r>
            <w:r w:rsidR="00AD7AEA" w:rsidRPr="00E94324">
              <w:rPr>
                <w:szCs w:val="24"/>
              </w:rPr>
              <w:t>СОГЛАСОВАНО</w:t>
            </w:r>
          </w:p>
          <w:p w:rsidR="00AD7AEA" w:rsidRPr="00E94324" w:rsidRDefault="00AD7AEA" w:rsidP="0072342E">
            <w:pPr>
              <w:framePr w:hSpace="180" w:wrap="auto" w:vAnchor="page" w:hAnchor="margin" w:x="358" w:y="905"/>
              <w:ind w:left="257"/>
              <w:rPr>
                <w:szCs w:val="24"/>
              </w:rPr>
            </w:pPr>
          </w:p>
          <w:p w:rsidR="00AD7AEA" w:rsidRPr="00E94324" w:rsidRDefault="00AD7AEA" w:rsidP="0072342E">
            <w:pPr>
              <w:framePr w:hSpace="180" w:wrap="auto" w:vAnchor="page" w:hAnchor="margin" w:x="358" w:y="905"/>
              <w:rPr>
                <w:szCs w:val="24"/>
              </w:rPr>
            </w:pPr>
          </w:p>
          <w:p w:rsidR="000D56A5" w:rsidRPr="00E94324" w:rsidRDefault="000D56A5" w:rsidP="000D56A5">
            <w:pPr>
              <w:framePr w:hSpace="180" w:wrap="auto" w:vAnchor="page" w:hAnchor="margin" w:x="358" w:y="905"/>
              <w:rPr>
                <w:szCs w:val="24"/>
              </w:rPr>
            </w:pPr>
            <w:r w:rsidRPr="00D14B89">
              <w:rPr>
                <w:szCs w:val="24"/>
              </w:rPr>
              <w:t>Исполнительный директор</w:t>
            </w:r>
          </w:p>
          <w:p w:rsidR="000D56A5" w:rsidRPr="00E94324" w:rsidRDefault="000D56A5" w:rsidP="000D56A5">
            <w:pPr>
              <w:framePr w:hSpace="180" w:wrap="auto" w:vAnchor="page" w:hAnchor="margin" w:x="358" w:y="905"/>
              <w:rPr>
                <w:szCs w:val="24"/>
              </w:rPr>
            </w:pPr>
            <w:r w:rsidRPr="00E94324">
              <w:rPr>
                <w:szCs w:val="24"/>
              </w:rPr>
              <w:t>АО «ДК РЕГИОН»</w:t>
            </w:r>
          </w:p>
          <w:p w:rsidR="000D56A5" w:rsidRPr="00E94324" w:rsidRDefault="000D56A5" w:rsidP="000D56A5">
            <w:pPr>
              <w:framePr w:hSpace="180" w:wrap="auto" w:vAnchor="page" w:hAnchor="margin" w:x="358" w:y="905"/>
              <w:ind w:left="257"/>
              <w:rPr>
                <w:szCs w:val="24"/>
              </w:rPr>
            </w:pPr>
          </w:p>
          <w:p w:rsidR="000D56A5" w:rsidRPr="00E94324" w:rsidRDefault="000D56A5" w:rsidP="000D56A5">
            <w:pPr>
              <w:framePr w:hSpace="180" w:wrap="auto" w:vAnchor="page" w:hAnchor="margin" w:x="358" w:y="905"/>
              <w:ind w:left="257"/>
              <w:rPr>
                <w:szCs w:val="24"/>
              </w:rPr>
            </w:pPr>
          </w:p>
          <w:p w:rsidR="000D56A5" w:rsidRPr="00E94324" w:rsidRDefault="000D56A5" w:rsidP="000D56A5">
            <w:pPr>
              <w:framePr w:hSpace="180" w:wrap="auto" w:vAnchor="page" w:hAnchor="margin" w:x="358" w:y="905"/>
              <w:ind w:left="257"/>
              <w:rPr>
                <w:szCs w:val="24"/>
              </w:rPr>
            </w:pPr>
          </w:p>
          <w:p w:rsidR="000D56A5" w:rsidRPr="00E94324" w:rsidRDefault="000D56A5" w:rsidP="000D56A5">
            <w:pPr>
              <w:framePr w:hSpace="180" w:wrap="auto" w:vAnchor="page" w:hAnchor="margin" w:x="358" w:y="905"/>
              <w:ind w:left="257"/>
              <w:rPr>
                <w:szCs w:val="24"/>
              </w:rPr>
            </w:pPr>
          </w:p>
          <w:p w:rsidR="00AD7AEA" w:rsidRPr="00E94324" w:rsidRDefault="000D56A5" w:rsidP="000D56A5">
            <w:pPr>
              <w:framePr w:hSpace="180" w:wrap="auto" w:vAnchor="page" w:hAnchor="margin" w:x="358" w:y="905"/>
              <w:rPr>
                <w:szCs w:val="24"/>
              </w:rPr>
            </w:pPr>
            <w:r w:rsidRPr="00E94324">
              <w:rPr>
                <w:szCs w:val="24"/>
              </w:rPr>
              <w:t>____________________  /</w:t>
            </w:r>
            <w:r>
              <w:rPr>
                <w:szCs w:val="24"/>
              </w:rPr>
              <w:t>Н.Е.</w:t>
            </w:r>
            <w:r w:rsidRPr="00D14B89">
              <w:rPr>
                <w:szCs w:val="24"/>
              </w:rPr>
              <w:t>Сударикова</w:t>
            </w:r>
            <w:r w:rsidRPr="00E94324">
              <w:rPr>
                <w:szCs w:val="24"/>
              </w:rPr>
              <w:t xml:space="preserve">  </w:t>
            </w:r>
            <w:r w:rsidR="00AD7AEA" w:rsidRPr="00E94324">
              <w:rPr>
                <w:szCs w:val="24"/>
              </w:rPr>
              <w:t xml:space="preserve">/                    </w:t>
            </w:r>
          </w:p>
          <w:p w:rsidR="00AD7AEA" w:rsidRPr="00E94324" w:rsidRDefault="00AD7AEA" w:rsidP="0072342E">
            <w:pPr>
              <w:framePr w:hSpace="180" w:wrap="auto" w:vAnchor="page" w:hAnchor="margin" w:x="358" w:y="905"/>
              <w:rPr>
                <w:szCs w:val="24"/>
              </w:rPr>
            </w:pPr>
          </w:p>
          <w:p w:rsidR="00AD7AEA" w:rsidRPr="00E94324" w:rsidRDefault="00F013EC" w:rsidP="00E94324">
            <w:pPr>
              <w:framePr w:hSpace="180" w:wrap="auto" w:vAnchor="page" w:hAnchor="margin" w:x="358" w:y="905"/>
              <w:rPr>
                <w:sz w:val="28"/>
                <w:szCs w:val="28"/>
              </w:rPr>
            </w:pPr>
            <w:r w:rsidRPr="00E94324">
              <w:rPr>
                <w:szCs w:val="24"/>
              </w:rPr>
              <w:t>«</w:t>
            </w:r>
            <w:r w:rsidR="00E94324" w:rsidRPr="00E94324">
              <w:rPr>
                <w:szCs w:val="24"/>
              </w:rPr>
              <w:t>21</w:t>
            </w:r>
            <w:r w:rsidRPr="00E94324">
              <w:rPr>
                <w:szCs w:val="24"/>
              </w:rPr>
              <w:t xml:space="preserve">» </w:t>
            </w:r>
            <w:r w:rsidR="00E94324" w:rsidRPr="00E94324">
              <w:rPr>
                <w:szCs w:val="24"/>
              </w:rPr>
              <w:t xml:space="preserve">июня </w:t>
            </w:r>
            <w:r w:rsidRPr="00E94324">
              <w:rPr>
                <w:szCs w:val="24"/>
              </w:rPr>
              <w:t>202</w:t>
            </w:r>
            <w:r w:rsidR="0027588B" w:rsidRPr="00E94324">
              <w:rPr>
                <w:szCs w:val="24"/>
              </w:rPr>
              <w:t>3</w:t>
            </w:r>
            <w:r w:rsidRPr="00E94324">
              <w:rPr>
                <w:szCs w:val="24"/>
              </w:rPr>
              <w:t xml:space="preserve"> г.</w:t>
            </w:r>
          </w:p>
        </w:tc>
        <w:tc>
          <w:tcPr>
            <w:tcW w:w="4395" w:type="dxa"/>
            <w:shd w:val="clear" w:color="auto" w:fill="auto"/>
          </w:tcPr>
          <w:p w:rsidR="00AD7AEA" w:rsidRPr="00E94324" w:rsidRDefault="00AD7AEA" w:rsidP="0072342E">
            <w:pPr>
              <w:framePr w:hSpace="180" w:wrap="auto" w:vAnchor="page" w:hAnchor="margin" w:x="358" w:y="905"/>
              <w:rPr>
                <w:szCs w:val="24"/>
              </w:rPr>
            </w:pPr>
            <w:r w:rsidRPr="00E94324">
              <w:rPr>
                <w:szCs w:val="24"/>
              </w:rPr>
              <w:t xml:space="preserve">УТВЕРЖДЕНО </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FA592F" w:rsidP="0072342E">
            <w:pPr>
              <w:framePr w:hSpace="180" w:wrap="auto" w:vAnchor="page" w:hAnchor="margin" w:x="358" w:y="905"/>
              <w:rPr>
                <w:szCs w:val="24"/>
              </w:rPr>
            </w:pPr>
            <w:r w:rsidRPr="00E94324">
              <w:rPr>
                <w:szCs w:val="24"/>
              </w:rPr>
              <w:t>Г</w:t>
            </w:r>
            <w:r w:rsidR="00AD7AEA" w:rsidRPr="00E94324">
              <w:rPr>
                <w:szCs w:val="24"/>
              </w:rPr>
              <w:t>енеральн</w:t>
            </w:r>
            <w:r w:rsidR="00F013EC" w:rsidRPr="00E94324">
              <w:rPr>
                <w:szCs w:val="24"/>
              </w:rPr>
              <w:t xml:space="preserve">ый </w:t>
            </w:r>
            <w:r w:rsidR="00AD7AEA" w:rsidRPr="00E94324">
              <w:rPr>
                <w:szCs w:val="24"/>
              </w:rPr>
              <w:t xml:space="preserve"> директор </w:t>
            </w:r>
          </w:p>
          <w:p w:rsidR="00AD7AEA" w:rsidRPr="00E94324" w:rsidRDefault="00867899" w:rsidP="0072342E">
            <w:pPr>
              <w:framePr w:hSpace="180" w:wrap="auto" w:vAnchor="page" w:hAnchor="margin" w:x="358" w:y="905"/>
              <w:rPr>
                <w:szCs w:val="24"/>
              </w:rPr>
            </w:pPr>
            <w:r w:rsidRPr="00E94324">
              <w:rPr>
                <w:szCs w:val="24"/>
              </w:rPr>
              <w:t>АО «РЕГИОН ЭсМ»</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1B3087" w:rsidRPr="00E94324" w:rsidRDefault="001B3087"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r w:rsidRPr="00E94324">
              <w:rPr>
                <w:szCs w:val="24"/>
              </w:rPr>
              <w:t>________________ /</w:t>
            </w:r>
            <w:r w:rsidR="00F013EC" w:rsidRPr="00E94324">
              <w:rPr>
                <w:szCs w:val="24"/>
              </w:rPr>
              <w:t>Е.А.Зайцева</w:t>
            </w:r>
            <w:r w:rsidRPr="00E94324">
              <w:rPr>
                <w:szCs w:val="24"/>
              </w:rPr>
              <w:t>/</w:t>
            </w:r>
          </w:p>
          <w:p w:rsidR="00AD7AEA" w:rsidRPr="00E94324" w:rsidRDefault="00AD7AEA" w:rsidP="0072342E">
            <w:pPr>
              <w:framePr w:hSpace="180" w:wrap="auto" w:vAnchor="page" w:hAnchor="margin" w:x="358" w:y="905"/>
              <w:tabs>
                <w:tab w:val="left" w:pos="2722"/>
              </w:tabs>
              <w:rPr>
                <w:szCs w:val="24"/>
              </w:rPr>
            </w:pPr>
          </w:p>
          <w:p w:rsidR="00AD7AEA" w:rsidRPr="00E94324" w:rsidRDefault="009F3E47" w:rsidP="00E94324">
            <w:pPr>
              <w:framePr w:hSpace="180" w:wrap="auto" w:vAnchor="page" w:hAnchor="margin" w:x="358" w:y="905"/>
              <w:tabs>
                <w:tab w:val="left" w:pos="2722"/>
              </w:tabs>
              <w:rPr>
                <w:szCs w:val="24"/>
              </w:rPr>
            </w:pPr>
            <w:r w:rsidRPr="00E94324">
              <w:rPr>
                <w:szCs w:val="24"/>
              </w:rPr>
              <w:t>«</w:t>
            </w:r>
            <w:r w:rsidR="00E94324" w:rsidRPr="00E94324">
              <w:rPr>
                <w:szCs w:val="24"/>
              </w:rPr>
              <w:t>21</w:t>
            </w:r>
            <w:r w:rsidR="00AF5515" w:rsidRPr="00E94324">
              <w:rPr>
                <w:szCs w:val="24"/>
              </w:rPr>
              <w:t xml:space="preserve">» </w:t>
            </w:r>
            <w:r w:rsidR="00E94324" w:rsidRPr="00E94324">
              <w:rPr>
                <w:szCs w:val="24"/>
              </w:rPr>
              <w:t xml:space="preserve">июня </w:t>
            </w:r>
            <w:r w:rsidR="00F115D7" w:rsidRPr="00E94324">
              <w:rPr>
                <w:szCs w:val="24"/>
              </w:rPr>
              <w:t>202</w:t>
            </w:r>
            <w:r w:rsidR="0027588B" w:rsidRPr="00E94324">
              <w:rPr>
                <w:szCs w:val="24"/>
              </w:rPr>
              <w:t>3</w:t>
            </w:r>
            <w:r w:rsidR="00781DD6" w:rsidRPr="00E94324">
              <w:rPr>
                <w:szCs w:val="24"/>
              </w:rPr>
              <w:t xml:space="preserve"> </w:t>
            </w:r>
            <w:r w:rsidR="00AD7AEA" w:rsidRPr="00E94324">
              <w:rPr>
                <w:szCs w:val="24"/>
              </w:rPr>
              <w:t>г.</w:t>
            </w:r>
            <w:r w:rsidR="00AD7AEA" w:rsidRPr="00E94324">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906E53" w:rsidRPr="006D7089" w:rsidRDefault="00906E53" w:rsidP="00906E53">
      <w:pPr>
        <w:ind w:left="360"/>
        <w:rPr>
          <w:sz w:val="28"/>
          <w:szCs w:val="28"/>
        </w:rPr>
      </w:pPr>
      <w:bookmarkStart w:id="0" w:name="_GoBack"/>
      <w:bookmarkEnd w:id="0"/>
    </w:p>
    <w:p w:rsidR="00906E53" w:rsidRPr="00207827" w:rsidRDefault="00906E53" w:rsidP="00906E53">
      <w:pPr>
        <w:ind w:left="360"/>
        <w:rPr>
          <w:sz w:val="28"/>
          <w:szCs w:val="28"/>
        </w:rPr>
      </w:pPr>
    </w:p>
    <w:p w:rsidR="00F04A45" w:rsidRDefault="00F04A45" w:rsidP="00F04A45">
      <w:pPr>
        <w:ind w:left="360"/>
        <w:rPr>
          <w:sz w:val="28"/>
          <w:szCs w:val="28"/>
        </w:rPr>
      </w:pPr>
    </w:p>
    <w:p w:rsidR="00964628" w:rsidRDefault="00964628" w:rsidP="00F04A45">
      <w:pPr>
        <w:ind w:left="360"/>
        <w:rPr>
          <w:sz w:val="28"/>
          <w:szCs w:val="28"/>
        </w:rPr>
      </w:pPr>
    </w:p>
    <w:p w:rsidR="00964628" w:rsidRDefault="00964628" w:rsidP="00F04A45">
      <w:pPr>
        <w:ind w:left="360"/>
        <w:rPr>
          <w:sz w:val="28"/>
          <w:szCs w:val="28"/>
        </w:rPr>
      </w:pPr>
    </w:p>
    <w:p w:rsidR="00964628" w:rsidRDefault="00964628" w:rsidP="00F04A45">
      <w:pPr>
        <w:ind w:left="360"/>
        <w:rPr>
          <w:sz w:val="28"/>
          <w:szCs w:val="28"/>
        </w:rPr>
      </w:pPr>
    </w:p>
    <w:p w:rsidR="00964628" w:rsidRDefault="00964628" w:rsidP="00F04A45">
      <w:pPr>
        <w:ind w:left="360"/>
        <w:rPr>
          <w:sz w:val="28"/>
          <w:szCs w:val="28"/>
        </w:rPr>
      </w:pPr>
    </w:p>
    <w:p w:rsidR="00964628" w:rsidRDefault="00964628" w:rsidP="00F04A45">
      <w:pPr>
        <w:ind w:left="360"/>
        <w:rPr>
          <w:sz w:val="28"/>
          <w:szCs w:val="28"/>
        </w:rPr>
      </w:pPr>
    </w:p>
    <w:p w:rsidR="00964628" w:rsidRPr="00207827" w:rsidRDefault="00964628" w:rsidP="00F04A45">
      <w:pPr>
        <w:ind w:left="360"/>
        <w:rPr>
          <w:sz w:val="28"/>
          <w:szCs w:val="28"/>
        </w:rPr>
      </w:pPr>
    </w:p>
    <w:p w:rsidR="00F04A45" w:rsidRPr="00207827" w:rsidRDefault="00F04A45" w:rsidP="00F04A45">
      <w:pPr>
        <w:ind w:left="360"/>
        <w:rPr>
          <w:sz w:val="28"/>
          <w:szCs w:val="28"/>
        </w:rPr>
      </w:pPr>
    </w:p>
    <w:p w:rsidR="00F04A45" w:rsidRPr="006D7089" w:rsidRDefault="00F04A45" w:rsidP="00F04A45">
      <w:pPr>
        <w:ind w:left="360"/>
        <w:rPr>
          <w:sz w:val="28"/>
          <w:szCs w:val="28"/>
        </w:rPr>
      </w:pPr>
    </w:p>
    <w:p w:rsidR="00F04A45" w:rsidRPr="00207827" w:rsidRDefault="00F04A45" w:rsidP="00F04A45">
      <w:pPr>
        <w:ind w:left="360"/>
        <w:rPr>
          <w:sz w:val="28"/>
          <w:szCs w:val="28"/>
        </w:rPr>
      </w:pPr>
    </w:p>
    <w:p w:rsidR="00F04A45" w:rsidRPr="00207827" w:rsidRDefault="00F04A45" w:rsidP="00F04A45">
      <w:pPr>
        <w:ind w:left="360"/>
        <w:rPr>
          <w:sz w:val="28"/>
          <w:szCs w:val="28"/>
        </w:rPr>
      </w:pPr>
    </w:p>
    <w:p w:rsidR="00F04A45" w:rsidRDefault="00F04A45" w:rsidP="00F04A45">
      <w:pPr>
        <w:jc w:val="center"/>
        <w:rPr>
          <w:b/>
          <w:bCs/>
          <w:sz w:val="34"/>
          <w:szCs w:val="34"/>
        </w:rPr>
      </w:pPr>
      <w:r w:rsidRPr="00207827">
        <w:rPr>
          <w:b/>
          <w:bCs/>
          <w:sz w:val="34"/>
          <w:szCs w:val="34"/>
        </w:rPr>
        <w:t>ПРАВИЛА</w:t>
      </w:r>
    </w:p>
    <w:p w:rsidR="00F04A45" w:rsidRDefault="00F04A45" w:rsidP="00F04A45">
      <w:pPr>
        <w:jc w:val="center"/>
        <w:rPr>
          <w:b/>
          <w:bCs/>
          <w:sz w:val="32"/>
          <w:szCs w:val="32"/>
        </w:rPr>
      </w:pPr>
      <w:r w:rsidRPr="00287F00">
        <w:rPr>
          <w:b/>
          <w:bCs/>
          <w:sz w:val="32"/>
          <w:szCs w:val="32"/>
        </w:rPr>
        <w:t>определения стоимости чистых активов</w:t>
      </w:r>
    </w:p>
    <w:p w:rsidR="00484282" w:rsidRPr="00B602F2" w:rsidRDefault="00E30059" w:rsidP="00F04A45">
      <w:pPr>
        <w:ind w:left="-284" w:right="-284"/>
        <w:jc w:val="center"/>
      </w:pPr>
      <w:r w:rsidRPr="00287F00">
        <w:rPr>
          <w:b/>
          <w:bCs/>
          <w:sz w:val="32"/>
          <w:szCs w:val="32"/>
        </w:rPr>
        <w:t xml:space="preserve">Открытого паевого инвестиционного фонда рыночных финансовых инструментов </w:t>
      </w:r>
      <w:r w:rsidRPr="00216978">
        <w:rPr>
          <w:b/>
          <w:bCs/>
          <w:sz w:val="32"/>
          <w:szCs w:val="32"/>
        </w:rPr>
        <w:t>"РЕГИОН Доходные облигации"</w:t>
      </w:r>
    </w:p>
    <w:p w:rsidR="00484282" w:rsidRPr="00B602F2" w:rsidRDefault="00484282" w:rsidP="0072342E">
      <w:pPr>
        <w:pStyle w:val="BodyNum"/>
        <w:numPr>
          <w:ilvl w:val="0"/>
          <w:numId w:val="0"/>
        </w:numPr>
        <w:ind w:left="2160"/>
      </w:pPr>
    </w:p>
    <w:p w:rsidR="00DF7B1B" w:rsidRDefault="00DF7B1B" w:rsidP="0072342E"/>
    <w:p w:rsidR="00532BF0" w:rsidRDefault="00532BF0" w:rsidP="0072342E"/>
    <w:p w:rsidR="00532BF0" w:rsidRDefault="00532BF0"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EA4001" w:rsidRPr="00DF7B1B" w:rsidRDefault="00EA4001" w:rsidP="0072342E">
      <w:pPr>
        <w:pStyle w:val="15"/>
      </w:pPr>
      <w:bookmarkStart w:id="1" w:name="_Toc66447208"/>
      <w:bookmarkStart w:id="2" w:name="_Toc74043288"/>
      <w:r w:rsidRPr="0059768E">
        <w:lastRenderedPageBreak/>
        <w:t>Общие</w:t>
      </w:r>
      <w:r w:rsidRPr="00DF7B1B">
        <w:t xml:space="preserve"> положения.</w:t>
      </w:r>
      <w:bookmarkEnd w:id="1"/>
      <w:bookmarkEnd w:id="2"/>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E30059" w:rsidRPr="00F825E1">
        <w:rPr>
          <w:rFonts w:ascii="Times New Roman" w:hAnsi="Times New Roman"/>
          <w:sz w:val="24"/>
          <w:szCs w:val="24"/>
        </w:rPr>
        <w:t xml:space="preserve">Открытого паевого инвестиционного фонда </w:t>
      </w:r>
      <w:r w:rsidR="00E30059">
        <w:rPr>
          <w:rFonts w:ascii="Times New Roman" w:hAnsi="Times New Roman"/>
          <w:sz w:val="24"/>
          <w:szCs w:val="24"/>
        </w:rPr>
        <w:t>рыночных финансовых инструментов</w:t>
      </w:r>
      <w:r w:rsidR="00E30059" w:rsidRPr="000C6C4D">
        <w:rPr>
          <w:rFonts w:ascii="Times New Roman" w:hAnsi="Times New Roman"/>
          <w:sz w:val="24"/>
          <w:szCs w:val="24"/>
        </w:rPr>
        <w:t xml:space="preserve"> </w:t>
      </w:r>
      <w:r w:rsidR="00E30059" w:rsidRPr="00216978">
        <w:rPr>
          <w:rFonts w:ascii="Times New Roman" w:hAnsi="Times New Roman"/>
          <w:sz w:val="24"/>
          <w:szCs w:val="24"/>
        </w:rPr>
        <w:t>"РЕГИОН Доходные облигации"</w:t>
      </w:r>
      <w:r w:rsidR="008C0459" w:rsidRPr="00F825E1" w:rsidDel="008C0459">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w:t>
      </w:r>
      <w:r w:rsidR="00E30059">
        <w:rPr>
          <w:rFonts w:ascii="Times New Roman" w:hAnsi="Times New Roman"/>
          <w:sz w:val="24"/>
          <w:szCs w:val="24"/>
        </w:rPr>
        <w:t xml:space="preserve">ерации от 25 августа 2015 года </w:t>
      </w:r>
      <w:r w:rsidRPr="00B602F2">
        <w:rPr>
          <w:rFonts w:ascii="Times New Roman" w:hAnsi="Times New Roman"/>
          <w:sz w:val="24"/>
          <w:szCs w:val="24"/>
        </w:rPr>
        <w:t>№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E94324" w:rsidRDefault="008068EC" w:rsidP="0072342E">
      <w:pPr>
        <w:pStyle w:val="a0"/>
      </w:pPr>
      <w:r w:rsidRPr="00E94324">
        <w:t xml:space="preserve">Правила определения СЧА </w:t>
      </w:r>
      <w:r w:rsidR="0042481A" w:rsidRPr="00E94324">
        <w:t xml:space="preserve">в настоящей редакции </w:t>
      </w:r>
      <w:r w:rsidRPr="00E94324">
        <w:t xml:space="preserve">применяются </w:t>
      </w:r>
      <w:r w:rsidR="0042481A" w:rsidRPr="00E94324">
        <w:t xml:space="preserve">с </w:t>
      </w:r>
      <w:r w:rsidR="00E94324" w:rsidRPr="00E94324">
        <w:t>01</w:t>
      </w:r>
      <w:r w:rsidR="0027588B" w:rsidRPr="00E94324">
        <w:t xml:space="preserve"> </w:t>
      </w:r>
      <w:r w:rsidR="00E94324" w:rsidRPr="00E94324">
        <w:t xml:space="preserve">июля </w:t>
      </w:r>
      <w:r w:rsidR="0042481A" w:rsidRPr="00E94324">
        <w:t>20</w:t>
      </w:r>
      <w:r w:rsidR="00EC149B" w:rsidRPr="00E94324">
        <w:t>2</w:t>
      </w:r>
      <w:r w:rsidR="0027588B" w:rsidRPr="00E94324">
        <w:t>3</w:t>
      </w:r>
      <w:r w:rsidR="006B6937" w:rsidRPr="00E94324">
        <w:t xml:space="preserve"> </w:t>
      </w:r>
      <w:r w:rsidR="0042481A" w:rsidRPr="00E94324">
        <w:t>г.</w:t>
      </w:r>
      <w:r w:rsidRPr="00E94324">
        <w:t xml:space="preserve"> </w:t>
      </w:r>
    </w:p>
    <w:p w:rsidR="00EB2CBA" w:rsidRPr="004E6C9F" w:rsidRDefault="0033487F" w:rsidP="0072342E">
      <w:pPr>
        <w:pStyle w:val="a0"/>
      </w:pPr>
      <w:r w:rsidRPr="00E94324">
        <w:t>Изменения и дополнения</w:t>
      </w:r>
      <w:r w:rsidRPr="004E6C9F">
        <w:t xml:space="preserve">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w:t>
      </w:r>
      <w:r w:rsidR="004D6B6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32.45pt" o:ole="">
            <v:imagedata r:id="rId9" o:title=""/>
          </v:shape>
          <o:OLEObject Type="Embed" ProgID="Equation.3" ShapeID="_x0000_i1025" DrawAspect="Content" ObjectID="_1748871959"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8.85pt;height:17.1pt" o:ole="">
            <v:imagedata r:id="rId11" o:title=""/>
          </v:shape>
          <o:OLEObject Type="Embed" ProgID="Equation.3" ShapeID="_x0000_i1026" DrawAspect="Content" ObjectID="_1748871960"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1.8pt;height:11.8pt" o:ole="">
            <v:imagedata r:id="rId13" o:title=""/>
          </v:shape>
          <o:OLEObject Type="Embed" ProgID="Equation.3" ShapeID="_x0000_i1027" DrawAspect="Content" ObjectID="_1748871961"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4.25pt;height:20.65pt" o:ole="">
            <v:imagedata r:id="rId15" o:title=""/>
          </v:shape>
          <o:OLEObject Type="Embed" ProgID="Equation.3" ShapeID="_x0000_i1028" DrawAspect="Content" ObjectID="_1748871962"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1.8pt;height:20.65pt" o:ole="">
            <v:imagedata r:id="rId17" o:title=""/>
          </v:shape>
          <o:OLEObject Type="Embed" ProgID="Equation.3" ShapeID="_x0000_i1029" DrawAspect="Content" ObjectID="_1748871963"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4pt;height:47.8pt" o:ole="">
            <v:imagedata r:id="rId19" o:title=""/>
          </v:shape>
          <o:OLEObject Type="Embed" ProgID="Equation.3" ShapeID="_x0000_i1030" DrawAspect="Content" ObjectID="_1748871964"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7.8pt;height:18.3pt" o:ole="">
            <v:imagedata r:id="rId21" o:title=""/>
          </v:shape>
          <o:OLEObject Type="Embed" ProgID="Equation.3" ShapeID="_x0000_i1031" DrawAspect="Content" ObjectID="_1748871965"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3.6pt;height:18.3pt" o:ole="">
            <v:imagedata r:id="rId23" o:title=""/>
          </v:shape>
          <o:OLEObject Type="Embed" ProgID="Equation.3" ShapeID="_x0000_i1032" DrawAspect="Content" ObjectID="_1748871966"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8.85pt;height:8.85pt" o:ole="">
            <v:imagedata r:id="rId25" o:title=""/>
          </v:shape>
          <o:OLEObject Type="Embed" ProgID="Equation.3" ShapeID="_x0000_i1033" DrawAspect="Content" ObjectID="_1748871967"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3.6pt;height:20.65pt" o:ole="">
            <v:imagedata r:id="rId27" o:title=""/>
          </v:shape>
          <o:OLEObject Type="Embed" ProgID="Equation.3" ShapeID="_x0000_i1034" DrawAspect="Content" ObjectID="_1748871968"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3.6pt;height:23.6pt" o:ole="">
            <v:imagedata r:id="rId29" o:title=""/>
          </v:shape>
          <o:OLEObject Type="Embed" ProgID="Equation.3" ShapeID="_x0000_i1035" DrawAspect="Content" ObjectID="_1748871969"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3.55pt;height:20.65pt" o:ole="">
            <v:imagedata r:id="rId31" o:title=""/>
          </v:shape>
          <o:OLEObject Type="Embed" ProgID="Equation.3" ShapeID="_x0000_i1036" DrawAspect="Content" ObjectID="_1748871970"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6.05pt;height:32.45pt" o:ole="">
                  <v:imagedata r:id="rId33" o:title=""/>
                </v:shape>
                <o:OLEObject Type="Embed" ProgID="Equation.3" ShapeID="_x0000_i1038" DrawAspect="Content" ObjectID="_1748871971"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1.8pt;height:20.65pt" o:ole="">
            <v:imagedata r:id="rId35" o:title=""/>
          </v:shape>
          <o:OLEObject Type="Embed" ProgID="Equation.3" ShapeID="_x0000_i1039" DrawAspect="Content" ObjectID="_1748871972"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4.25pt;height:20.65pt" o:ole="">
            <v:imagedata r:id="rId37" o:title=""/>
          </v:shape>
          <o:OLEObject Type="Embed" ProgID="Equation.3" ShapeID="_x0000_i1040" DrawAspect="Content" ObjectID="_1748871973"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19.55pt;height:51.35pt" o:ole="">
            <v:imagedata r:id="rId39" o:title=""/>
          </v:shape>
          <o:OLEObject Type="Embed" ProgID="Equation.3" ShapeID="_x0000_i1041" DrawAspect="Content" ObjectID="_1748871974"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3.55pt;height:20.65pt" o:ole="">
            <v:imagedata r:id="rId41" o:title=""/>
          </v:shape>
          <o:OLEObject Type="Embed" ProgID="Equation.3" ShapeID="_x0000_i1042" DrawAspect="Content" ObjectID="_1748871975"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1.8pt;height:20.65pt" o:ole="">
            <v:imagedata r:id="rId43" o:title=""/>
          </v:shape>
          <o:OLEObject Type="Embed" ProgID="Equation.3" ShapeID="_x0000_i1043" DrawAspect="Content" ObjectID="_1748871976"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1.8pt;height:11.8pt" o:ole="">
            <v:imagedata r:id="rId13" o:title=""/>
          </v:shape>
          <o:OLEObject Type="Embed" ProgID="Equation.3" ShapeID="_x0000_i1044" DrawAspect="Content" ObjectID="_1748871977"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1.8pt;height:20.65pt" o:ole="">
            <v:imagedata r:id="rId46" o:title=""/>
          </v:shape>
          <o:OLEObject Type="Embed" ProgID="Equation.3" ShapeID="_x0000_i1045" DrawAspect="Content" ObjectID="_1748871978"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1.8pt;height:20.65pt" o:ole="">
            <v:imagedata r:id="rId43" o:title=""/>
          </v:shape>
          <o:OLEObject Type="Embed" ProgID="Equation.3" ShapeID="_x0000_i1046" DrawAspect="Content" ObjectID="_1748871979"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1.8pt;height:20.65pt" o:ole="">
            <v:imagedata r:id="rId46" o:title=""/>
          </v:shape>
          <o:OLEObject Type="Embed" ProgID="Equation.3" ShapeID="_x0000_i1047" DrawAspect="Content" ObjectID="_1748871980"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1.8pt;height:20.65pt" o:ole="">
            <v:imagedata r:id="rId43" o:title=""/>
          </v:shape>
          <o:OLEObject Type="Embed" ProgID="Equation.3" ShapeID="_x0000_i1048" DrawAspect="Content" ObjectID="_1748871981"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29.5pt;height:20.65pt" o:ole="">
            <v:imagedata r:id="rId51" o:title=""/>
          </v:shape>
          <o:OLEObject Type="Embed" ProgID="Equation.3" ShapeID="_x0000_i1049" DrawAspect="Content" ObjectID="_1748871982"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4.25pt;height:15.95pt" o:ole="">
            <v:imagedata r:id="rId53" o:title=""/>
          </v:shape>
          <o:OLEObject Type="Embed" ProgID="Equation.3" ShapeID="_x0000_i1050" DrawAspect="Content" ObjectID="_1748871983"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1.8pt;height:20.65pt" o:ole="">
            <v:imagedata r:id="rId43" o:title=""/>
          </v:shape>
          <o:OLEObject Type="Embed" ProgID="Equation.3" ShapeID="_x0000_i1051" DrawAspect="Content" ObjectID="_1748871984"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05pt;height:130.45pt" o:ole="">
            <v:imagedata r:id="rId56" o:title=""/>
          </v:shape>
          <o:OLEObject Type="Embed" ProgID="Equation.3" ShapeID="_x0000_i1052" DrawAspect="Content" ObjectID="_1748871985"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0.15pt;height:20.65pt" o:ole="">
            <v:imagedata r:id="rId58" o:title=""/>
          </v:shape>
          <o:OLEObject Type="Embed" ProgID="Equation.3" ShapeID="_x0000_i1053" DrawAspect="Content" ObjectID="_1748871986"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3.6pt;height:20.65pt" o:ole="">
            <v:imagedata r:id="rId60" o:title=""/>
          </v:shape>
          <o:OLEObject Type="Embed" ProgID="Equation.3" ShapeID="_x0000_i1054" DrawAspect="Content" ObjectID="_1748871987"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29.5pt;height:32.45pt" o:ole="">
            <v:imagedata r:id="rId62" o:title=""/>
          </v:shape>
          <o:OLEObject Type="Embed" ProgID="Equation.3" ShapeID="_x0000_i1055" DrawAspect="Content" ObjectID="_1748871988"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8.85pt;height:8.85pt" o:ole="">
            <v:imagedata r:id="rId25" o:title=""/>
          </v:shape>
          <o:OLEObject Type="Embed" ProgID="Equation.3" ShapeID="_x0000_i1056" DrawAspect="Content" ObjectID="_1748871989"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3.6pt;height:20.65pt" o:ole="">
            <v:imagedata r:id="rId27" o:title=""/>
          </v:shape>
          <o:OLEObject Type="Embed" ProgID="Equation.3" ShapeID="_x0000_i1057" DrawAspect="Content" ObjectID="_1748871990"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1.8pt;height:20.65pt" o:ole="">
            <v:imagedata r:id="rId46" o:title=""/>
          </v:shape>
          <o:OLEObject Type="Embed" ProgID="Equation.3" ShapeID="_x0000_i1058" DrawAspect="Content" ObjectID="_1748871991"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3.6pt;height:23.6pt" o:ole="">
            <v:imagedata r:id="rId29" o:title=""/>
          </v:shape>
          <o:OLEObject Type="Embed" ProgID="Equation.3" ShapeID="_x0000_i1059" DrawAspect="Content" ObjectID="_1748871992"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1.8pt;height:20.65pt" o:ole="">
            <v:imagedata r:id="rId46" o:title=""/>
          </v:shape>
          <o:OLEObject Type="Embed" ProgID="Equation.3" ShapeID="_x0000_i1060" DrawAspect="Content" ObjectID="_1748871993"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3.55pt;height:20.65pt" o:ole="">
            <v:imagedata r:id="rId31" o:title=""/>
          </v:shape>
          <o:OLEObject Type="Embed" ProgID="Equation.3" ShapeID="_x0000_i1061" DrawAspect="Content" ObjectID="_1748871994"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1.8pt;height:20.65pt" o:ole="">
            <v:imagedata r:id="rId46" o:title=""/>
          </v:shape>
          <o:OLEObject Type="Embed" ProgID="Equation.3" ShapeID="_x0000_i1062" DrawAspect="Content" ObjectID="_1748871995"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7.1pt;height:20.65pt" o:ole="">
            <v:imagedata r:id="rId71" o:title=""/>
          </v:shape>
          <o:OLEObject Type="Embed" ProgID="Equation.3" ShapeID="_x0000_i1063" DrawAspect="Content" ObjectID="_1748871996"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3.55pt;height:20.65pt" o:ole="">
            <v:imagedata r:id="rId31" o:title=""/>
          </v:shape>
          <o:OLEObject Type="Embed" ProgID="Equation.3" ShapeID="_x0000_i1064" DrawAspect="Content" ObjectID="_1748871997"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1.8pt;height:20.65pt" o:ole="">
            <v:imagedata r:id="rId46" o:title=""/>
          </v:shape>
          <o:OLEObject Type="Embed" ProgID="Equation.3" ShapeID="_x0000_i1065" DrawAspect="Content" ObjectID="_1748871998"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35pt;height:32.45pt" o:ole="">
            <v:imagedata r:id="rId75" o:title=""/>
          </v:shape>
          <o:OLEObject Type="Embed" ProgID="Equation.3" ShapeID="_x0000_i1066" DrawAspect="Content" ObjectID="_1748871999"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5.15pt;height:66.7pt" o:ole="">
              <v:imagedata r:id="rId77" o:title=""/>
            </v:shape>
            <o:OLEObject Type="Embed" ProgID="Equation.3" ShapeID="_x0000_i1067" DrawAspect="Content" ObjectID="_1748872000"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95pt;height:63.15pt" o:ole="">
                  <v:imagedata r:id="rId79" o:title=""/>
                </v:shape>
                <o:OLEObject Type="Embed" ProgID="Equation.3" ShapeID="_x0000_i1069" DrawAspect="Content" ObjectID="_1748872001"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1.8pt;height:20.65pt" o:ole="">
            <v:imagedata r:id="rId43" o:title=""/>
          </v:shape>
          <o:OLEObject Type="Embed" ProgID="Equation.3" ShapeID="_x0000_i1070" DrawAspect="Content" ObjectID="_1748872002"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4.25pt;height:15.95pt" o:ole="">
            <v:imagedata r:id="rId53" o:title=""/>
          </v:shape>
          <o:OLEObject Type="Embed" ProgID="Equation.3" ShapeID="_x0000_i1071" DrawAspect="Content" ObjectID="_1748872003"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6287A"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p>
    <w:p w:rsidR="004D6B6B" w:rsidRDefault="0096287A" w:rsidP="0072342E">
      <w:pPr>
        <w:pStyle w:val="11"/>
        <w:tabs>
          <w:tab w:val="left" w:pos="993"/>
        </w:tabs>
        <w:ind w:left="0"/>
        <w:jc w:val="both"/>
        <w:rPr>
          <w:szCs w:val="24"/>
        </w:rPr>
      </w:pPr>
      <w:r w:rsidRPr="008511A4">
        <w:rPr>
          <w:szCs w:val="24"/>
        </w:rPr>
        <w:t xml:space="preserve">Стоимость имущества, переданного в оплату инвестиционных паев ПИФ, определяется по состоянию </w:t>
      </w:r>
      <w:r w:rsidR="004D6B6B">
        <w:rPr>
          <w:szCs w:val="24"/>
        </w:rPr>
        <w:t xml:space="preserve">на 23:59:59 часов московского времени </w:t>
      </w:r>
      <w:r w:rsidRPr="008511A4">
        <w:rPr>
          <w:szCs w:val="24"/>
        </w:rPr>
        <w:t xml:space="preserve">на дату передачи имущества в оплату инвестиционных паев </w:t>
      </w:r>
      <w:r>
        <w:rPr>
          <w:szCs w:val="24"/>
        </w:rPr>
        <w:t>Фонда</w:t>
      </w:r>
      <w:r w:rsidR="004D6B6B">
        <w:rPr>
          <w:szCs w:val="24"/>
        </w:rPr>
        <w:t>.</w:t>
      </w:r>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информационной системы "Блумберг" (Bloomberg)</w:t>
            </w:r>
            <w:r w:rsidR="00B638A9">
              <w:rPr>
                <w:bCs/>
                <w:sz w:val="22"/>
                <w:szCs w:val="22"/>
              </w:rPr>
              <w:t xml:space="preserve">, информационной системы </w:t>
            </w:r>
            <w:r w:rsidR="00B638A9">
              <w:rPr>
                <w:bCs/>
                <w:sz w:val="22"/>
                <w:szCs w:val="22"/>
                <w:lang w:val="en-US"/>
              </w:rPr>
              <w:t>C</w:t>
            </w:r>
            <w:r w:rsidR="00B638A9" w:rsidRPr="00B638A9">
              <w:rPr>
                <w:bCs/>
                <w:sz w:val="22"/>
                <w:szCs w:val="22"/>
              </w:rPr>
              <w:t>bonds</w:t>
            </w:r>
            <w:r w:rsidR="00653F3B" w:rsidRPr="006D7089">
              <w:rPr>
                <w:bCs/>
                <w:sz w:val="22"/>
                <w:szCs w:val="22"/>
              </w:rPr>
              <w:t xml:space="preserve">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(Первое по времени из событий: Дата передачи денежных средств; 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0D56A5"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0D56A5"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0D56A5"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0D56A5"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0D56A5"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0D56A5"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0D56A5"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0D56A5"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A52D50" w:rsidRDefault="00A52D50" w:rsidP="001C2B7D">
      <w:pPr>
        <w:spacing w:before="120" w:after="240"/>
        <w:contextualSpacing/>
        <w:jc w:val="both"/>
        <w:rPr>
          <w:b/>
          <w:bCs/>
          <w:color w:val="000000"/>
          <w:szCs w:val="24"/>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9E59DD" w:rsidRDefault="00090007" w:rsidP="009E59DD">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9E59DD" w:rsidRPr="009E59DD" w:rsidRDefault="009E59DD" w:rsidP="00E94324">
      <w:pPr>
        <w:spacing w:before="120"/>
        <w:contextualSpacing/>
        <w:jc w:val="both"/>
        <w:rPr>
          <w:rFonts w:eastAsia="Calibri"/>
          <w:szCs w:val="24"/>
          <w:lang w:eastAsia="en-US"/>
        </w:rPr>
      </w:pPr>
      <w:r>
        <w:rPr>
          <w:rFonts w:eastAsia="Calibri"/>
          <w:szCs w:val="24"/>
          <w:lang w:eastAsia="en-US"/>
        </w:rPr>
        <w:t xml:space="preserve">        2. </w:t>
      </w:r>
      <w:r w:rsidRPr="009E59DD">
        <w:rPr>
          <w:rFonts w:eastAsia="Calibri"/>
          <w:szCs w:val="24"/>
          <w:lang w:eastAsia="en-US"/>
        </w:rPr>
        <w:t>Средняя индикативная цена, определенная по методике «Cbonds Estimation Onshore»</w:t>
      </w:r>
    </w:p>
    <w:p w:rsidR="009E59DD" w:rsidRDefault="009E59DD" w:rsidP="00E94324">
      <w:pPr>
        <w:spacing w:before="120"/>
        <w:contextualSpacing/>
        <w:jc w:val="both"/>
        <w:rPr>
          <w:rFonts w:eastAsia="Calibri"/>
          <w:szCs w:val="24"/>
          <w:lang w:eastAsia="en-US"/>
        </w:rPr>
      </w:pPr>
      <w:r>
        <w:rPr>
          <w:rFonts w:eastAsia="Calibri"/>
          <w:szCs w:val="24"/>
          <w:lang w:eastAsia="en-US"/>
        </w:rPr>
        <w:t xml:space="preserve">        3. </w:t>
      </w:r>
      <w:r w:rsidRPr="009E59DD">
        <w:rPr>
          <w:rFonts w:eastAsia="Calibri"/>
          <w:szCs w:val="24"/>
          <w:lang w:eastAsia="en-US"/>
        </w:rPr>
        <w:t>Индексная цена, определенная по методике RUDIP RUS (по исходным данным, относящимся к 1 или 2 уровню)</w:t>
      </w:r>
    </w:p>
    <w:p w:rsidR="000B1B07" w:rsidRDefault="000B1B07" w:rsidP="0072342E">
      <w:pPr>
        <w:spacing w:before="120"/>
        <w:ind w:left="720"/>
        <w:contextualSpacing/>
        <w:jc w:val="both"/>
        <w:rPr>
          <w:rFonts w:eastAsia="Calibri"/>
          <w:szCs w:val="24"/>
          <w:lang w:eastAsia="en-US"/>
        </w:rPr>
      </w:pPr>
    </w:p>
    <w:p w:rsidR="00D7733C" w:rsidRPr="00D817A7" w:rsidRDefault="009E59DD" w:rsidP="00E94324">
      <w:pPr>
        <w:spacing w:before="120"/>
        <w:ind w:left="360"/>
        <w:contextualSpacing/>
        <w:jc w:val="both"/>
        <w:rPr>
          <w:rFonts w:eastAsia="Calibri"/>
          <w:szCs w:val="24"/>
        </w:rPr>
      </w:pPr>
      <w:r>
        <w:rPr>
          <w:bCs/>
          <w:color w:val="000000"/>
          <w:szCs w:val="24"/>
        </w:rPr>
        <w:t xml:space="preserve">4.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0D56A5"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0D56A5"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0D56A5"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0FF05125" wp14:editId="1165A3E7">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3B6093" w:rsidRPr="00B602F2" w:rsidRDefault="003B6093" w:rsidP="0072342E">
      <w:pPr>
        <w:spacing w:before="120"/>
        <w:contextualSpacing/>
        <w:jc w:val="both"/>
        <w:rPr>
          <w:rFonts w:eastAsia="Calibri"/>
          <w:szCs w:val="24"/>
          <w:lang w:eastAsia="en-US"/>
        </w:rPr>
      </w:pP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Default="00D7733C" w:rsidP="0072342E">
      <w:pPr>
        <w:rPr>
          <w:b/>
          <w:i/>
          <w:szCs w:val="24"/>
        </w:rPr>
      </w:pPr>
      <w:r w:rsidRPr="006D7089">
        <w:rPr>
          <w:b/>
          <w:i/>
          <w:szCs w:val="24"/>
        </w:rPr>
        <w:t>Облигации, номинированные в рублях.</w:t>
      </w:r>
    </w:p>
    <w:p w:rsidR="003B6093" w:rsidRDefault="003B6093" w:rsidP="0072342E">
      <w:pPr>
        <w:rPr>
          <w:b/>
          <w:i/>
          <w:szCs w:val="24"/>
        </w:rPr>
      </w:pPr>
    </w:p>
    <w:p w:rsidR="003B6093" w:rsidRDefault="003B6093" w:rsidP="0072342E">
      <w:pPr>
        <w:rPr>
          <w:b/>
          <w:i/>
          <w:szCs w:val="24"/>
        </w:rPr>
      </w:pPr>
    </w:p>
    <w:p w:rsidR="003B6093" w:rsidRPr="006D7089" w:rsidRDefault="003B6093" w:rsidP="00B11E79">
      <w:pPr>
        <w:spacing w:before="120"/>
        <w:ind w:left="720"/>
        <w:contextualSpacing/>
        <w:jc w:val="both"/>
        <w:rPr>
          <w:b/>
          <w:i/>
          <w:szCs w:val="24"/>
        </w:rPr>
      </w:pPr>
      <w:r>
        <w:rPr>
          <w:rFonts w:eastAsia="Calibri"/>
          <w:szCs w:val="24"/>
          <w:lang w:eastAsia="en-US"/>
        </w:rPr>
        <w:t xml:space="preserve">- </w:t>
      </w:r>
      <w:r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w:t>
      </w:r>
      <w:r>
        <w:t>метод индексного дисконтированного денежного потока)</w:t>
      </w:r>
    </w:p>
    <w:p w:rsidR="00E201F4" w:rsidRPr="00B602F2" w:rsidRDefault="003B6093" w:rsidP="0072342E">
      <w:pPr>
        <w:ind w:firstLine="426"/>
        <w:jc w:val="both"/>
        <w:rPr>
          <w:b/>
          <w:szCs w:val="24"/>
        </w:rPr>
      </w:pPr>
      <w:r>
        <w:rPr>
          <w:szCs w:val="24"/>
        </w:rPr>
        <w:t>- Цена, определенная</w:t>
      </w:r>
      <w:r w:rsidR="00E201F4" w:rsidRPr="00B602F2">
        <w:rPr>
          <w:szCs w:val="24"/>
        </w:rPr>
        <w:t xml:space="preserve"> </w:t>
      </w:r>
      <w:r w:rsidR="00D33BC1">
        <w:rPr>
          <w:szCs w:val="24"/>
        </w:rPr>
        <w:t xml:space="preserve">методом </w:t>
      </w:r>
      <w:r w:rsidR="00E201F4" w:rsidRPr="00B602F2">
        <w:rPr>
          <w:szCs w:val="24"/>
        </w:rPr>
        <w:t>дисконтирования стоимости будущих</w:t>
      </w:r>
      <w:r w:rsidR="00D33BC1">
        <w:rPr>
          <w:szCs w:val="24"/>
        </w:rPr>
        <w:t>потоков</w:t>
      </w:r>
      <w:r w:rsidR="00E201F4" w:rsidRPr="00B602F2">
        <w:rPr>
          <w:szCs w:val="24"/>
        </w:rPr>
        <w:t xml:space="preserve">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4.6pt;height:34.8pt" o:ole="">
            <v:imagedata r:id="rId84" o:title=""/>
          </v:shape>
          <o:OLEObject Type="Embed" ProgID="Equation.3" ShapeID="_x0000_i1072" DrawAspect="Content" ObjectID="_1748872004"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887662" w:rsidRPr="008434DB" w:rsidRDefault="000D56A5" w:rsidP="00887662">
      <w:pPr>
        <w:rPr>
          <w:color w:val="1F497D"/>
        </w:rPr>
      </w:pPr>
      <w:hyperlink r:id="rId86" w:history="1">
        <w:r w:rsidR="00887662" w:rsidRPr="008434DB">
          <w:rPr>
            <w:rStyle w:val="a7"/>
          </w:rPr>
          <w:t>https://www.spglobal.com/ratings/en/research/articles/220413-default-transition-and-recovery-2021-annual-global-corporate-default-and-rating-transition-study-12336975</w:t>
        </w:r>
      </w:hyperlink>
    </w:p>
    <w:p w:rsidR="00E201F4" w:rsidRPr="00906E53" w:rsidRDefault="00E201F4" w:rsidP="0072342E">
      <w:pPr>
        <w:ind w:firstLine="284"/>
        <w:jc w:val="both"/>
        <w:rPr>
          <w:szCs w:val="24"/>
        </w:rPr>
      </w:pPr>
      <w:r w:rsidRPr="008434DB">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52"/>
        <w:gridCol w:w="1865"/>
        <w:gridCol w:w="1811"/>
        <w:gridCol w:w="1818"/>
        <w:gridCol w:w="1941"/>
      </w:tblGrid>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rsidTr="00D6688D">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rsidR="00D6688D" w:rsidRPr="00471B5E" w:rsidRDefault="00D6688D" w:rsidP="00D6688D">
            <w:pPr>
              <w:spacing w:line="312" w:lineRule="auto"/>
              <w:jc w:val="center"/>
              <w:rPr>
                <w:rFonts w:eastAsia="Calibri"/>
                <w:b/>
              </w:rPr>
            </w:pPr>
          </w:p>
        </w:tc>
      </w:tr>
      <w:tr w:rsidR="00D6688D" w:rsidRPr="00471B5E" w:rsidTr="00D6688D">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rsidR="00D6688D" w:rsidRDefault="00D6688D" w:rsidP="00D6688D">
            <w:pPr>
              <w:spacing w:line="312" w:lineRule="auto"/>
              <w:rPr>
                <w:rFonts w:eastAsia="Calibri"/>
                <w:sz w:val="20"/>
                <w:lang w:val="en-US"/>
              </w:rPr>
            </w:pPr>
            <w:r w:rsidRPr="00B74C81">
              <w:rPr>
                <w:rFonts w:eastAsia="Calibri"/>
                <w:sz w:val="20"/>
                <w:lang w:val="en-US"/>
              </w:rPr>
              <w:t>ruAA-, ruA+,</w:t>
            </w:r>
          </w:p>
          <w:p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rsidR="00D6688D" w:rsidRPr="003D2775" w:rsidRDefault="00D6688D" w:rsidP="00D6688D">
            <w:pPr>
              <w:spacing w:line="312" w:lineRule="auto"/>
              <w:rPr>
                <w:rFonts w:eastAsia="Calibri"/>
                <w:sz w:val="20"/>
                <w:lang w:val="en-US"/>
              </w:rPr>
            </w:pPr>
            <w:r w:rsidRPr="00193F74">
              <w:rPr>
                <w:rFonts w:eastAsia="Calibri"/>
                <w:sz w:val="20"/>
                <w:lang w:val="en-US"/>
              </w:rPr>
              <w:t>AA+|ru|, AA|ru|,</w:t>
            </w:r>
          </w:p>
          <w:p w:rsidR="00D6688D" w:rsidRPr="00193F74" w:rsidRDefault="00D6688D" w:rsidP="00D6688D">
            <w:pPr>
              <w:spacing w:line="312" w:lineRule="auto"/>
              <w:rPr>
                <w:rFonts w:eastAsia="Calibri"/>
                <w:sz w:val="20"/>
                <w:lang w:val="en-US"/>
              </w:rPr>
            </w:pPr>
            <w:r w:rsidRPr="00193F74">
              <w:rPr>
                <w:rFonts w:eastAsia="Calibri"/>
                <w:sz w:val="20"/>
                <w:lang w:val="en-US"/>
              </w:rPr>
              <w:t>AA-|ru|,  A+|ru|,</w:t>
            </w:r>
          </w:p>
          <w:p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rsidR="00D6688D" w:rsidRDefault="00D6688D" w:rsidP="0072342E">
      <w:pPr>
        <w:spacing w:after="120"/>
        <w:ind w:firstLine="426"/>
        <w:jc w:val="both"/>
        <w:rPr>
          <w:szCs w:val="24"/>
        </w:rPr>
      </w:pPr>
    </w:p>
    <w:p w:rsidR="00E201F4" w:rsidRPr="00B602F2" w:rsidRDefault="00E201F4" w:rsidP="0072342E">
      <w:pPr>
        <w:spacing w:after="120"/>
        <w:rPr>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D6688D" w:rsidRPr="00C02C98" w:rsidRDefault="00D6688D" w:rsidP="00D6688D">
      <w:pPr>
        <w:spacing w:line="312" w:lineRule="auto"/>
        <w:jc w:val="both"/>
        <w:rPr>
          <w:rFonts w:eastAsia="Calibri"/>
          <w:szCs w:val="24"/>
        </w:rPr>
      </w:pP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ind w:firstLine="690"/>
        <w:jc w:val="both"/>
        <w:rPr>
          <w:rFonts w:eastAsia="Calibri"/>
          <w:szCs w:val="24"/>
        </w:rPr>
      </w:pPr>
      <w:r w:rsidRPr="00C02C98">
        <w:rPr>
          <w:rFonts w:eastAsia="Calibri"/>
          <w:szCs w:val="24"/>
        </w:rPr>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0D56A5"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0D56A5"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jc w:val="both"/>
        <w:rPr>
          <w:rFonts w:eastAsia="Calibri"/>
          <w:b/>
          <w:szCs w:val="24"/>
          <w:u w:val="single"/>
        </w:rPr>
      </w:pPr>
    </w:p>
    <w:p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rsidR="00D6688D" w:rsidRPr="00C02C98" w:rsidRDefault="000D56A5"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tabs>
          <w:tab w:val="left" w:pos="567"/>
        </w:tabs>
        <w:spacing w:line="312" w:lineRule="auto"/>
        <w:jc w:val="both"/>
        <w:rPr>
          <w:rFonts w:eastAsia="Calibri"/>
          <w:b/>
          <w:szCs w:val="24"/>
          <w:u w:val="single"/>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D6688D" w:rsidRPr="00C02C98" w:rsidRDefault="00D6688D" w:rsidP="00D6688D">
      <w:pPr>
        <w:numPr>
          <w:ilvl w:val="0"/>
          <w:numId w:val="243"/>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D6688D" w:rsidRPr="00C02C98" w:rsidRDefault="000D56A5"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D56A5"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0D56A5"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rsidR="00D6688D" w:rsidRPr="00C02C98" w:rsidRDefault="00D6688D" w:rsidP="00D6688D">
      <w:pPr>
        <w:numPr>
          <w:ilvl w:val="0"/>
          <w:numId w:val="243"/>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D6688D" w:rsidRPr="00C02C98" w:rsidRDefault="000D56A5"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D56A5"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0D56A5"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0D56A5"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rsidR="00D6688D" w:rsidRPr="00C02C98" w:rsidRDefault="00D6688D" w:rsidP="00D6688D">
      <w:pPr>
        <w:pStyle w:val="a5"/>
        <w:numPr>
          <w:ilvl w:val="0"/>
          <w:numId w:val="243"/>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rsidR="00D6688D" w:rsidRPr="00C02C98" w:rsidRDefault="00D6688D" w:rsidP="00D6688D">
      <w:pPr>
        <w:spacing w:line="312" w:lineRule="auto"/>
        <w:ind w:left="708" w:firstLine="708"/>
        <w:rPr>
          <w:szCs w:val="24"/>
        </w:rPr>
      </w:pPr>
      <w:r w:rsidRPr="00C02C98">
        <w:rPr>
          <w:szCs w:val="24"/>
        </w:rPr>
        <w:t>где:</w:t>
      </w:r>
    </w:p>
    <w:p w:rsidR="00D6688D" w:rsidRPr="00C02C98" w:rsidRDefault="000D56A5"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rsidR="00D6688D" w:rsidRPr="00C02C98" w:rsidRDefault="00D6688D" w:rsidP="00D6688D">
      <w:pPr>
        <w:spacing w:line="312" w:lineRule="auto"/>
        <w:contextualSpacing/>
        <w:jc w:val="both"/>
        <w:rPr>
          <w:szCs w:val="24"/>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rsidR="00D6688D" w:rsidRPr="00C02C98" w:rsidRDefault="00D6688D" w:rsidP="00D6688D">
      <w:pPr>
        <w:numPr>
          <w:ilvl w:val="0"/>
          <w:numId w:val="245"/>
        </w:numPr>
        <w:spacing w:line="312" w:lineRule="auto"/>
        <w:ind w:left="1134" w:hanging="425"/>
        <w:jc w:val="both"/>
        <w:rPr>
          <w:szCs w:val="24"/>
        </w:rPr>
      </w:pPr>
      <w:r w:rsidRPr="00C02C98">
        <w:rPr>
          <w:rFonts w:eastAsia="Calibri"/>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rsidR="00D6688D" w:rsidRPr="00C02C98" w:rsidRDefault="00D6688D" w:rsidP="00D6688D">
      <w:pPr>
        <w:spacing w:line="312" w:lineRule="auto"/>
        <w:ind w:left="708"/>
        <w:jc w:val="both"/>
        <w:rPr>
          <w:rFonts w:eastAsia="Calibri"/>
          <w:b/>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264"/>
        <w:gridCol w:w="2761"/>
        <w:gridCol w:w="3262"/>
      </w:tblGrid>
      <w:tr w:rsidR="00D6688D" w:rsidRPr="00C02C98" w:rsidTr="00D6688D">
        <w:trPr>
          <w:trHeight w:val="284"/>
        </w:trPr>
        <w:tc>
          <w:tcPr>
            <w:tcW w:w="9571" w:type="dxa"/>
            <w:gridSpan w:val="3"/>
            <w:shd w:val="clear" w:color="auto" w:fill="BFBFBF" w:themeFill="background1" w:themeFillShade="BF"/>
          </w:tcPr>
          <w:p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rsidR="00D6688D" w:rsidRPr="00C02C98" w:rsidRDefault="000D56A5"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0D56A5"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rsidTr="00D6688D">
        <w:trPr>
          <w:trHeight w:val="284"/>
        </w:trPr>
        <w:tc>
          <w:tcPr>
            <w:tcW w:w="3369" w:type="dxa"/>
          </w:tcPr>
          <w:p w:rsidR="00D6688D" w:rsidRPr="00C02C98" w:rsidRDefault="000D56A5"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0D56A5"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rsidTr="00D6688D">
        <w:trPr>
          <w:trHeight w:val="284"/>
        </w:trPr>
        <w:tc>
          <w:tcPr>
            <w:tcW w:w="3369" w:type="dxa"/>
          </w:tcPr>
          <w:p w:rsidR="00D6688D" w:rsidRPr="00C02C98" w:rsidRDefault="000D56A5"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0D56A5"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rsidR="00D6688D" w:rsidRPr="00C02C98" w:rsidRDefault="00D6688D" w:rsidP="00D6688D">
      <w:pPr>
        <w:spacing w:line="312" w:lineRule="auto"/>
        <w:contextualSpacing/>
        <w:jc w:val="both"/>
        <w:rPr>
          <w:rFonts w:eastAsia="Calibri"/>
          <w:szCs w:val="24"/>
        </w:rPr>
      </w:pPr>
    </w:p>
    <w:p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E201F4" w:rsidRPr="00207827" w:rsidRDefault="00D6688D" w:rsidP="0072342E">
      <w:pPr>
        <w:rPr>
          <w:b/>
          <w:szCs w:val="24"/>
          <w:u w:val="single"/>
        </w:rPr>
      </w:pPr>
      <w:r w:rsidRPr="00C02C98">
        <w:rPr>
          <w:rFonts w:eastAsia="Calibri"/>
          <w:szCs w:val="24"/>
        </w:rPr>
        <w:br w:type="page"/>
      </w:r>
    </w:p>
    <w:p w:rsidR="00E201F4" w:rsidRDefault="001B1FD4" w:rsidP="0072342E">
      <w:pPr>
        <w:rPr>
          <w:b/>
          <w:i/>
          <w:szCs w:val="24"/>
        </w:rPr>
      </w:pPr>
      <w:r w:rsidRPr="007F610B">
        <w:rPr>
          <w:b/>
          <w:i/>
          <w:szCs w:val="24"/>
        </w:rPr>
        <w:t>Облигации,  номинированные в иностранной валюте</w:t>
      </w:r>
      <w:r w:rsidR="003730E0">
        <w:rPr>
          <w:b/>
          <w:i/>
          <w:szCs w:val="24"/>
        </w:rPr>
        <w:t>.</w:t>
      </w:r>
    </w:p>
    <w:p w:rsidR="003B6093" w:rsidRDefault="003B6093" w:rsidP="0072342E">
      <w:pPr>
        <w:rPr>
          <w:b/>
          <w:i/>
          <w:szCs w:val="24"/>
        </w:rPr>
      </w:pPr>
    </w:p>
    <w:p w:rsidR="003B6093" w:rsidRPr="007F610B" w:rsidRDefault="003B6093" w:rsidP="0072342E">
      <w:pPr>
        <w:rPr>
          <w:b/>
          <w:i/>
          <w:szCs w:val="24"/>
        </w:rPr>
      </w:pPr>
    </w:p>
    <w:p w:rsidR="0002540C"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xml:space="preserve">), при этом «страной риска» заемщика является Россия, справедливая стоимость определяется согласно </w:t>
      </w:r>
      <w:r w:rsidR="0002540C">
        <w:rPr>
          <w:szCs w:val="24"/>
        </w:rPr>
        <w:t>следующему приоритету:</w:t>
      </w:r>
    </w:p>
    <w:p w:rsidR="0002540C" w:rsidRDefault="0002540C" w:rsidP="0072342E">
      <w:pPr>
        <w:ind w:firstLine="426"/>
        <w:jc w:val="both"/>
        <w:rPr>
          <w:szCs w:val="24"/>
        </w:rPr>
      </w:pPr>
    </w:p>
    <w:p w:rsidR="0002540C" w:rsidRPr="006D7089" w:rsidRDefault="004B69F0" w:rsidP="00B11E79">
      <w:pPr>
        <w:spacing w:before="120"/>
        <w:contextualSpacing/>
        <w:jc w:val="both"/>
        <w:rPr>
          <w:b/>
          <w:i/>
          <w:szCs w:val="24"/>
        </w:rPr>
      </w:pPr>
      <w:r>
        <w:rPr>
          <w:rFonts w:eastAsia="Calibri"/>
          <w:szCs w:val="24"/>
          <w:lang w:eastAsia="en-US"/>
        </w:rPr>
        <w:t xml:space="preserve">1. </w:t>
      </w:r>
      <w:r w:rsidR="0002540C"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w:t>
      </w:r>
      <w:r w:rsidR="0002540C" w:rsidRPr="00280116">
        <w:rPr>
          <w:rFonts w:eastAsia="Calibri"/>
          <w:szCs w:val="24"/>
          <w:lang w:eastAsia="en-US"/>
        </w:rPr>
        <w:t>, рассчитанная по  методам оценки, основанных на  исходных данных 3-го уровня иерархии  в соответствии с МСФО13 (</w:t>
      </w:r>
      <w:r w:rsidR="0002540C">
        <w:t>метод индексного дисконтированного денежного потока</w:t>
      </w:r>
      <w:r w:rsidR="009B5765">
        <w:t xml:space="preserve"> и др. методы</w:t>
      </w:r>
      <w:r w:rsidR="0002540C">
        <w:t>)</w:t>
      </w:r>
    </w:p>
    <w:p w:rsidR="0002540C" w:rsidRPr="007F610B" w:rsidRDefault="0002540C" w:rsidP="0002540C">
      <w:pPr>
        <w:rPr>
          <w:b/>
          <w:i/>
          <w:szCs w:val="24"/>
        </w:rPr>
      </w:pPr>
    </w:p>
    <w:p w:rsidR="0002540C" w:rsidRDefault="0002540C" w:rsidP="0072342E">
      <w:pPr>
        <w:ind w:firstLine="426"/>
        <w:jc w:val="both"/>
        <w:rPr>
          <w:szCs w:val="24"/>
        </w:rPr>
      </w:pPr>
    </w:p>
    <w:p w:rsidR="00AF1D7D" w:rsidRDefault="004B69F0" w:rsidP="00E94324">
      <w:pPr>
        <w:jc w:val="both"/>
        <w:rPr>
          <w:szCs w:val="24"/>
        </w:rPr>
      </w:pPr>
      <w:r>
        <w:rPr>
          <w:szCs w:val="24"/>
        </w:rPr>
        <w:t xml:space="preserve">2. </w:t>
      </w:r>
      <w:r w:rsidR="0002540C">
        <w:rPr>
          <w:szCs w:val="24"/>
        </w:rPr>
        <w:t xml:space="preserve">Цена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p>
    <w:p w:rsidR="00AF1D7D" w:rsidRDefault="00AF1D7D" w:rsidP="0072342E">
      <w:pPr>
        <w:ind w:firstLine="426"/>
        <w:jc w:val="both"/>
        <w:rPr>
          <w:szCs w:val="24"/>
        </w:rPr>
      </w:pPr>
    </w:p>
    <w:p w:rsidR="00AF1D7D" w:rsidRPr="00962AAF" w:rsidRDefault="00AF1D7D" w:rsidP="00B11E79">
      <w:pPr>
        <w:tabs>
          <w:tab w:val="left" w:pos="709"/>
        </w:tabs>
        <w:spacing w:line="276" w:lineRule="auto"/>
        <w:contextualSpacing/>
        <w:jc w:val="both"/>
        <w:rPr>
          <w:rFonts w:eastAsia="Calibri"/>
        </w:rPr>
      </w:pPr>
      <w:r w:rsidRPr="00962AAF">
        <w:rPr>
          <w:rFonts w:eastAsia="Calibri"/>
        </w:rPr>
        <w:t>В соответствии с настоящей моделью расчетная цена (цены) долговой ценной бумаги, номинированной в иностранной валюте, определяется методом приведенной стоимости будущих денежных потоков по формуле:</w:t>
      </w:r>
    </w:p>
    <w:p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rsidR="00AF1D7D" w:rsidRPr="00962AAF" w:rsidRDefault="00AF1D7D" w:rsidP="00AF1D7D">
      <w:pPr>
        <w:spacing w:line="276" w:lineRule="auto"/>
        <w:ind w:left="709" w:hanging="1"/>
        <w:jc w:val="both"/>
      </w:pPr>
      <w:r w:rsidRPr="00962AAF">
        <w:t>где</w:t>
      </w:r>
    </w:p>
    <w:p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rsidR="00AF1D7D" w:rsidRPr="00962AAF" w:rsidRDefault="000D56A5"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0D56A5"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rsidR="00AF1D7D" w:rsidRPr="00962AAF" w:rsidRDefault="000D56A5"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rsidR="00AF1D7D" w:rsidRPr="00962AAF" w:rsidRDefault="000D56A5"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0D56A5"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0D56A5"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Pr="00962AAF" w:rsidRDefault="00AF1D7D" w:rsidP="00AF1D7D">
      <w:pPr>
        <w:spacing w:line="276" w:lineRule="auto"/>
        <w:ind w:left="709"/>
        <w:jc w:val="both"/>
      </w:pP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rsidR="00AF1D7D" w:rsidRPr="00962AAF" w:rsidRDefault="000D56A5"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0D56A5"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rsidR="00AF1D7D" w:rsidRPr="00962AAF" w:rsidRDefault="00AF1D7D" w:rsidP="00AF1D7D">
      <w:pPr>
        <w:spacing w:before="240" w:line="276" w:lineRule="auto"/>
        <w:ind w:left="709"/>
        <w:contextualSpacing/>
        <w:jc w:val="both"/>
      </w:pPr>
    </w:p>
    <w:p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rsidR="00AF1D7D" w:rsidRPr="00962AAF" w:rsidRDefault="00AF1D7D" w:rsidP="00AF1D7D">
      <w:pPr>
        <w:tabs>
          <w:tab w:val="left" w:pos="709"/>
        </w:tabs>
        <w:spacing w:line="276" w:lineRule="auto"/>
        <w:ind w:left="709"/>
        <w:contextualSpacing/>
        <w:jc w:val="both"/>
        <w:rPr>
          <w:rFonts w:eastAsia="Calibri"/>
        </w:rPr>
      </w:pPr>
    </w:p>
    <w:p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rsidR="00AF1D7D" w:rsidRPr="00962AAF" w:rsidRDefault="00AF1D7D" w:rsidP="00AF1D7D">
      <w:pPr>
        <w:jc w:val="both"/>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1"/>
          <w:numId w:val="240"/>
        </w:numPr>
        <w:spacing w:line="276" w:lineRule="auto"/>
        <w:contextualSpacing/>
        <w:jc w:val="both"/>
        <w:rPr>
          <w:rFonts w:eastAsia="Calibri"/>
          <w:vanish/>
        </w:rPr>
      </w:pPr>
    </w:p>
    <w:p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rsidR="00AF1D7D" w:rsidRPr="00962AAF" w:rsidRDefault="00AF1D7D" w:rsidP="00AF1D7D">
      <w:pPr>
        <w:numPr>
          <w:ilvl w:val="0"/>
          <w:numId w:val="238"/>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D33BC1">
        <w:rPr>
          <w:rFonts w:eastAsia="Calibri"/>
        </w:rPr>
        <w:t>( см. метод дисконтирования денежных потоков для облигаций в рублях)</w:t>
      </w:r>
      <w:r w:rsidRPr="00962AAF">
        <w:rPr>
          <w:rFonts w:eastAsia="Calibri"/>
        </w:rPr>
        <w:t xml:space="preserve">. </w:t>
      </w:r>
    </w:p>
    <w:p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rsidR="00AF1D7D" w:rsidRPr="00B602F2" w:rsidRDefault="00AF1D7D" w:rsidP="0072342E">
      <w:pPr>
        <w:ind w:firstLine="426"/>
        <w:jc w:val="both"/>
        <w:rPr>
          <w:szCs w:val="24"/>
        </w:rPr>
      </w:pPr>
    </w:p>
    <w:p w:rsidR="00F569AE" w:rsidRPr="00F569AE" w:rsidRDefault="004B69F0" w:rsidP="00F569AE">
      <w:pPr>
        <w:spacing w:after="120"/>
        <w:ind w:firstLine="426"/>
        <w:jc w:val="both"/>
        <w:rPr>
          <w:szCs w:val="24"/>
        </w:rPr>
      </w:pPr>
      <w:r>
        <w:rPr>
          <w:szCs w:val="24"/>
        </w:rPr>
        <w:t>3</w:t>
      </w:r>
      <w:r w:rsidR="00F569AE">
        <w:rPr>
          <w:szCs w:val="24"/>
        </w:rPr>
        <w:t>.</w:t>
      </w:r>
      <w:r w:rsidR="00F569AE" w:rsidRPr="00F569AE">
        <w:rPr>
          <w:szCs w:val="24"/>
        </w:rPr>
        <w:t xml:space="preserve"> Индексная цена, определенная по методике RUDIP RUS (по исходным данным, относящимся к 3 уровню)</w:t>
      </w:r>
    </w:p>
    <w:p w:rsidR="00ED16C2" w:rsidRPr="00B602F2" w:rsidRDefault="004B69F0" w:rsidP="00F569AE">
      <w:pPr>
        <w:spacing w:after="120"/>
        <w:ind w:firstLine="426"/>
        <w:jc w:val="both"/>
        <w:rPr>
          <w:szCs w:val="24"/>
        </w:rPr>
      </w:pPr>
      <w:r>
        <w:rPr>
          <w:szCs w:val="24"/>
        </w:rPr>
        <w:t>4</w:t>
      </w:r>
      <w:r w:rsidR="00F569AE">
        <w:rPr>
          <w:szCs w:val="24"/>
        </w:rPr>
        <w:t>.</w:t>
      </w:r>
      <w:r w:rsidR="00F569AE" w:rsidRPr="00F569AE">
        <w:rPr>
          <w:szCs w:val="24"/>
        </w:rPr>
        <w:t xml:space="preserve"> Цена Bid, определенная по методике «Cbonds Estimation Onshore»</w:t>
      </w: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0D56A5"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0D56A5"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9732EC">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A52D50" w:rsidRDefault="00A52D50" w:rsidP="001C2B7D">
      <w:pPr>
        <w:pStyle w:val="11"/>
        <w:tabs>
          <w:tab w:val="left" w:pos="993"/>
        </w:tabs>
        <w:ind w:left="0"/>
        <w:jc w:val="both"/>
        <w:rPr>
          <w:b/>
          <w:szCs w:val="24"/>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0D56A5"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0D56A5"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0D56A5"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0D56A5"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rsidR="000E058F" w:rsidRDefault="000E058F" w:rsidP="0072342E">
      <w:pPr>
        <w:ind w:firstLine="426"/>
        <w:rPr>
          <w:szCs w:val="24"/>
        </w:rPr>
      </w:pPr>
    </w:p>
    <w:p w:rsidR="000E058F" w:rsidRDefault="000D56A5"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0D56A5"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0D56A5"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0D56A5"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0D56A5"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0D56A5"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0D56A5"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0D56A5"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0D56A5"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0D56A5"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0D56A5"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r w:rsidR="004B69F0">
        <w:rPr>
          <w:b/>
          <w:szCs w:val="24"/>
        </w:rPr>
        <w:t>(</w:t>
      </w:r>
      <w:r w:rsidR="004B69F0">
        <w:rPr>
          <w:color w:val="1F497D"/>
        </w:rPr>
        <w:t>Значение срока ставки определяется до 4 знаков после запятой)</w:t>
      </w:r>
      <w:r w:rsidRPr="005A6C5B">
        <w:rPr>
          <w:b/>
          <w:szCs w:val="24"/>
        </w:rPr>
        <w:t>:</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34212">
        <w:rPr>
          <w:rFonts w:ascii="Times New Roman" w:hAnsi="Times New Roman"/>
          <w:sz w:val="24"/>
          <w:szCs w:val="24"/>
        </w:rPr>
        <w:t>–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1 месяц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1</w:t>
      </w:r>
      <w:r w:rsidRPr="00906E53">
        <w:rPr>
          <w:rFonts w:ascii="Times New Roman" w:hAnsi="Times New Roman"/>
          <w:sz w:val="24"/>
          <w:szCs w:val="24"/>
        </w:rPr>
        <w:t xml:space="preserve"> месяц;</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3 месяца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3</w:t>
      </w:r>
      <w:r w:rsidRPr="00906E53">
        <w:rPr>
          <w:rFonts w:ascii="Times New Roman" w:hAnsi="Times New Roman"/>
          <w:sz w:val="24"/>
          <w:szCs w:val="24"/>
        </w:rPr>
        <w:t xml:space="preserve"> месяц</w:t>
      </w:r>
      <w:r>
        <w:rPr>
          <w:rFonts w:ascii="Times New Roman" w:hAnsi="Times New Roman"/>
          <w:sz w:val="24"/>
          <w:szCs w:val="24"/>
        </w:rPr>
        <w:t>а</w:t>
      </w:r>
      <w:r w:rsidRPr="00906E53">
        <w:rPr>
          <w:rFonts w:ascii="Times New Roman" w:hAnsi="Times New Roman"/>
          <w:sz w:val="24"/>
          <w:szCs w:val="24"/>
        </w:rPr>
        <w:t>;</w:t>
      </w:r>
    </w:p>
    <w:p w:rsidR="00120F99" w:rsidRP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6 месяцев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6</w:t>
      </w:r>
      <w:r w:rsidRPr="00906E53">
        <w:rPr>
          <w:rFonts w:ascii="Times New Roman" w:hAnsi="Times New Roman"/>
          <w:sz w:val="24"/>
          <w:szCs w:val="24"/>
        </w:rPr>
        <w:t xml:space="preserve"> месяц</w:t>
      </w:r>
      <w:r>
        <w:rPr>
          <w:rFonts w:ascii="Times New Roman" w:hAnsi="Times New Roman"/>
          <w:sz w:val="24"/>
          <w:szCs w:val="24"/>
        </w:rPr>
        <w:t>ев</w:t>
      </w:r>
      <w:r w:rsidRPr="00906E53">
        <w:rPr>
          <w:rFonts w:ascii="Times New Roman" w:hAnsi="Times New Roman"/>
          <w:sz w:val="24"/>
          <w:szCs w:val="24"/>
        </w:rPr>
        <w:t>;</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w:t>
      </w:r>
      <w:r w:rsidR="00120F99">
        <w:rPr>
          <w:rFonts w:ascii="Times New Roman" w:hAnsi="Times New Roman"/>
          <w:sz w:val="24"/>
          <w:szCs w:val="24"/>
          <w:lang w:val="en-US"/>
        </w:rPr>
        <w:t>RUONIA</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120F99">
        <w:rPr>
          <w:rFonts w:ascii="Times New Roman" w:hAnsi="Times New Roman"/>
          <w:sz w:val="24"/>
          <w:szCs w:val="24"/>
          <w:lang w:val="en-US"/>
        </w:rPr>
        <w:t>RUONIA</w:t>
      </w:r>
      <w:r w:rsidRPr="00906E53">
        <w:rPr>
          <w:rFonts w:ascii="Times New Roman" w:hAnsi="Times New Roman"/>
          <w:sz w:val="24"/>
          <w:szCs w:val="24"/>
        </w:rPr>
        <w:t xml:space="preserv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2417B2" w:rsidRDefault="002417B2" w:rsidP="002417B2">
      <w:pPr>
        <w:jc w:val="both"/>
        <w:rPr>
          <w:szCs w:val="24"/>
        </w:rPr>
      </w:pPr>
    </w:p>
    <w:p w:rsidR="002417B2" w:rsidRDefault="002417B2" w:rsidP="002417B2">
      <w:pPr>
        <w:jc w:val="both"/>
        <w:rPr>
          <w:szCs w:val="24"/>
        </w:rPr>
      </w:pPr>
    </w:p>
    <w:p w:rsidR="002417B2" w:rsidRDefault="002417B2" w:rsidP="002417B2">
      <w:pPr>
        <w:jc w:val="both"/>
        <w:rPr>
          <w:szCs w:val="24"/>
        </w:rPr>
      </w:pPr>
    </w:p>
    <w:p w:rsidR="002417B2" w:rsidRPr="002417B2" w:rsidRDefault="002417B2" w:rsidP="002417B2">
      <w:pPr>
        <w:jc w:val="both"/>
        <w:rPr>
          <w:szCs w:val="24"/>
        </w:rPr>
      </w:pP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0D56A5"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0D56A5"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2417B2" w:rsidRDefault="002417B2" w:rsidP="001C2B7D">
      <w:pPr>
        <w:rPr>
          <w:szCs w:val="24"/>
        </w:rPr>
      </w:pPr>
    </w:p>
    <w:p w:rsidR="002417B2" w:rsidRDefault="002417B2" w:rsidP="001C2B7D">
      <w:pPr>
        <w:rPr>
          <w:szCs w:val="24"/>
        </w:rPr>
      </w:pPr>
    </w:p>
    <w:p w:rsidR="002417B2" w:rsidRPr="00242A29" w:rsidRDefault="002417B2" w:rsidP="001C2B7D">
      <w:pPr>
        <w:rPr>
          <w:szCs w:val="24"/>
        </w:rPr>
      </w:pP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rsidR="00AB247E" w:rsidRPr="00EA21F0" w:rsidRDefault="00AB247E" w:rsidP="002040D9">
            <w:pPr>
              <w:ind w:left="268"/>
              <w:jc w:val="center"/>
              <w:rPr>
                <w:color w:val="000000"/>
              </w:rPr>
            </w:pPr>
            <w:r>
              <w:t>25 рабочих</w:t>
            </w:r>
            <w:r w:rsidRPr="00DA7256">
              <w:t xml:space="preserve">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2040D9" w:rsidRDefault="002040D9" w:rsidP="00E94324">
            <w:pPr>
              <w:rPr>
                <w:color w:val="000000"/>
              </w:rPr>
            </w:pPr>
            <w:r w:rsidRPr="002040D9">
              <w:t>9</w:t>
            </w:r>
            <w:r>
              <w:t>0 дней</w:t>
            </w:r>
          </w:p>
        </w:tc>
      </w:tr>
    </w:tbl>
    <w:p w:rsidR="002417B2" w:rsidRDefault="002417B2" w:rsidP="008045DD">
      <w:pPr>
        <w:spacing w:after="52"/>
        <w:ind w:right="54"/>
        <w:jc w:val="both"/>
        <w:rPr>
          <w:b/>
          <w:color w:val="000000"/>
          <w:szCs w:val="24"/>
        </w:rPr>
      </w:pPr>
    </w:p>
    <w:p w:rsidR="002417B2" w:rsidRDefault="002417B2" w:rsidP="008045DD">
      <w:pPr>
        <w:spacing w:after="52"/>
        <w:ind w:right="54"/>
        <w:jc w:val="both"/>
        <w:rPr>
          <w:b/>
          <w:color w:val="000000"/>
          <w:szCs w:val="24"/>
        </w:rPr>
      </w:pPr>
    </w:p>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2040D9" w:rsidDel="002040D9">
        <w:rPr>
          <w:color w:val="000000"/>
        </w:rPr>
        <w:t xml:space="preserve"> </w:t>
      </w: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E327C5" w:rsidRDefault="002F7235" w:rsidP="001C2B7D">
      <w:pPr>
        <w:pStyle w:val="a5"/>
        <w:numPr>
          <w:ilvl w:val="2"/>
          <w:numId w:val="2"/>
        </w:numPr>
        <w:spacing w:line="240" w:lineRule="auto"/>
        <w:jc w:val="both"/>
        <w:rPr>
          <w:rFonts w:ascii="Times New Roman" w:hAnsi="Times New Roman"/>
          <w:color w:val="000000"/>
          <w:sz w:val="24"/>
          <w:szCs w:val="24"/>
        </w:rPr>
      </w:pPr>
      <w:r w:rsidRPr="00E94324">
        <w:rPr>
          <w:rFonts w:ascii="Times New Roman" w:hAnsi="Times New Roman"/>
          <w:color w:val="000000"/>
          <w:sz w:val="24"/>
          <w:szCs w:val="24"/>
        </w:rPr>
        <w:t xml:space="preserve">В случае наличия у контрагента рейтинга одного из российских рейтинговых агентств применяется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rStyle w:val="af"/>
          <w:rFonts w:ascii="Times New Roman" w:hAnsi="Times New Roman"/>
          <w:color w:val="000000"/>
          <w:sz w:val="24"/>
          <w:szCs w:val="24"/>
          <w:lang w:val="en-US"/>
        </w:rPr>
        <w:footnoteReference w:id="20"/>
      </w:r>
      <w:r w:rsidRPr="00E94324">
        <w:rPr>
          <w:rFonts w:ascii="Times New Roman" w:hAnsi="Times New Roman"/>
          <w:color w:val="000000"/>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w:t>
      </w:r>
      <w:r w:rsidR="004500B6" w:rsidRPr="004500B6">
        <w:rPr>
          <w:rFonts w:ascii="Times New Roman" w:hAnsi="Times New Roman"/>
          <w:color w:val="000000"/>
          <w:sz w:val="24"/>
          <w:szCs w:val="24"/>
        </w:rPr>
        <w:t>9</w:t>
      </w:r>
      <w:r w:rsidRPr="00E94324">
        <w:rPr>
          <w:rFonts w:ascii="Times New Roman" w:hAnsi="Times New Roman"/>
          <w:color w:val="000000"/>
          <w:sz w:val="24"/>
          <w:szCs w:val="24"/>
        </w:rPr>
        <w:t xml:space="preserve">. Для отобранного рейтинга от АО «Эксперт РА» выбирается соответствующее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w:t>
      </w:r>
    </w:p>
    <w:p w:rsidR="002F7235" w:rsidRPr="00E94324" w:rsidRDefault="002F7235" w:rsidP="00E94324">
      <w:pPr>
        <w:pStyle w:val="a5"/>
        <w:numPr>
          <w:ilvl w:val="2"/>
          <w:numId w:val="2"/>
        </w:numPr>
        <w:spacing w:line="240" w:lineRule="auto"/>
        <w:jc w:val="both"/>
        <w:rPr>
          <w:color w:val="000000"/>
          <w:sz w:val="24"/>
          <w:szCs w:val="24"/>
        </w:rPr>
      </w:pPr>
      <w:r w:rsidRPr="00E94324">
        <w:rPr>
          <w:rFonts w:ascii="Times New Roman" w:hAnsi="Times New Roman"/>
          <w:color w:val="000000"/>
          <w:sz w:val="24"/>
          <w:szCs w:val="24"/>
        </w:rPr>
        <w:t>В случае наличия у иностранного контрагента рейтинга одного из международных рейтинговых агентств – на основании публичных доступных данных по вероятностям дефолта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одного из международных рейтинговых агентств, указанных в Правилах определения СЧА – </w:t>
      </w:r>
      <w:r w:rsidRPr="00E94324">
        <w:rPr>
          <w:rFonts w:ascii="Times New Roman" w:hAnsi="Times New Roman"/>
          <w:color w:val="000000"/>
          <w:sz w:val="24"/>
          <w:szCs w:val="24"/>
          <w:lang w:val="en-US"/>
        </w:rPr>
        <w:t>Moody</w:t>
      </w:r>
      <w:r w:rsidRPr="00E94324">
        <w:rPr>
          <w:rFonts w:ascii="Times New Roman" w:hAnsi="Times New Roman"/>
          <w:color w:val="000000"/>
          <w:sz w:val="24"/>
          <w:szCs w:val="24"/>
        </w:rPr>
        <w:t>'</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 xml:space="preserve">, </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&amp;</w:t>
      </w:r>
      <w:r w:rsidRPr="00E94324">
        <w:rPr>
          <w:rFonts w:ascii="Times New Roman" w:hAnsi="Times New Roman"/>
          <w:color w:val="000000"/>
          <w:sz w:val="24"/>
          <w:szCs w:val="24"/>
          <w:lang w:val="en-US"/>
        </w:rPr>
        <w:t>P</w:t>
      </w:r>
      <w:r w:rsidRPr="00E94324">
        <w:rPr>
          <w:rFonts w:ascii="Times New Roman" w:hAnsi="Times New Roman"/>
          <w:color w:val="000000"/>
          <w:sz w:val="24"/>
          <w:szCs w:val="24"/>
        </w:rPr>
        <w:t xml:space="preserve"> или </w:t>
      </w:r>
      <w:r w:rsidRPr="00E94324">
        <w:rPr>
          <w:rFonts w:ascii="Times New Roman" w:hAnsi="Times New Roman"/>
          <w:color w:val="000000"/>
          <w:sz w:val="24"/>
          <w:szCs w:val="24"/>
          <w:lang w:val="en-US"/>
        </w:rPr>
        <w:t>Fitch</w:t>
      </w:r>
      <w:r w:rsidRPr="00E94324">
        <w:rPr>
          <w:rFonts w:ascii="Times New Roman" w:hAnsi="Times New Roman"/>
          <w:color w:val="000000"/>
          <w:sz w:val="24"/>
          <w:szCs w:val="24"/>
        </w:rPr>
        <w:t xml:space="preserve">, публикуемых на сайте соответствующего агентства в составе ежегодного отчета с применением соответствия уровней рейтингов.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определяется величина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 </w:t>
      </w: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0D56A5"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4500B6">
        <w:rPr>
          <w:rFonts w:ascii="Times New Roman" w:hAnsi="Times New Roman"/>
          <w:color w:val="000000"/>
          <w:sz w:val="24"/>
          <w:szCs w:val="24"/>
        </w:rPr>
        <w:t>1</w:t>
      </w:r>
      <w:r w:rsidR="0031618A" w:rsidRPr="004C6C12">
        <w:rPr>
          <w:rFonts w:ascii="Times New Roman" w:hAnsi="Times New Roman"/>
          <w:color w:val="000000"/>
          <w:sz w:val="24"/>
          <w:szCs w:val="24"/>
        </w:rPr>
        <w:t xml:space="preserve"> из </w:t>
      </w:r>
      <w:r w:rsidRPr="004C6C12">
        <w:rPr>
          <w:rFonts w:ascii="Times New Roman" w:hAnsi="Times New Roman"/>
          <w:color w:val="000000"/>
          <w:sz w:val="24"/>
          <w:szCs w:val="24"/>
        </w:rPr>
        <w:t>Приложения</w:t>
      </w:r>
      <w:r w:rsidR="004500B6">
        <w:rPr>
          <w:rFonts w:ascii="Times New Roman" w:hAnsi="Times New Roman"/>
          <w:color w:val="000000"/>
          <w:sz w:val="24"/>
          <w:szCs w:val="24"/>
        </w:rPr>
        <w:t xml:space="preserve"> 9</w:t>
      </w:r>
      <w:r w:rsidRPr="004C6C12">
        <w:rPr>
          <w:rFonts w:ascii="Times New Roman" w:hAnsi="Times New Roman"/>
          <w:color w:val="000000"/>
          <w:sz w:val="24"/>
          <w:szCs w:val="24"/>
        </w:rPr>
        <w:t>.</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200E27"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200E27"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7"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8"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9"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0"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1"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2"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3"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4"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5"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6"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7" w:history="1">
        <w:r w:rsidRPr="001F6755">
          <w:rPr>
            <w:rFonts w:eastAsiaTheme="minorHAnsi"/>
            <w:color w:val="0000FF" w:themeColor="hyperlink"/>
            <w:szCs w:val="24"/>
            <w:u w:val="single"/>
            <w:lang w:eastAsia="en-US"/>
          </w:rPr>
          <w:t>https://bankruptcy.kommersant.ru</w:t>
        </w:r>
      </w:hyperlink>
    </w:p>
    <w:p w:rsidR="00FE530B" w:rsidRDefault="001F6755" w:rsidP="00B11E79">
      <w:pPr>
        <w:pStyle w:val="affb"/>
        <w:jc w:val="left"/>
        <w:rPr>
          <w:rFonts w:eastAsia="Calibri"/>
          <w:lang w:eastAsia="en-US"/>
        </w:rPr>
      </w:pPr>
      <w:r w:rsidRPr="001F6755">
        <w:rPr>
          <w:rFonts w:eastAsiaTheme="minorHAnsi"/>
          <w:lang w:eastAsia="en-US"/>
        </w:rPr>
        <w:br w:type="page"/>
      </w:r>
      <w:bookmarkStart w:id="45" w:name="_Toc66447217"/>
      <w:r w:rsidR="005D27E1">
        <w:t xml:space="preserve">                                                                                                                                 </w:t>
      </w:r>
      <w:bookmarkEnd w:id="45"/>
    </w:p>
    <w:p w:rsidR="00585C5E" w:rsidRDefault="003A6C53" w:rsidP="00585C5E">
      <w:pPr>
        <w:pStyle w:val="affb"/>
      </w:pPr>
      <w:bookmarkStart w:id="46" w:name="_Toc74043327"/>
      <w:r w:rsidRPr="005D27E1">
        <w:t xml:space="preserve">Приложение </w:t>
      </w:r>
      <w:r w:rsidR="0034354F">
        <w:t>5</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6"/>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t xml:space="preserve">Приложение </w:t>
      </w:r>
      <w:r w:rsidR="0034354F">
        <w:rPr>
          <w:b/>
          <w:color w:val="000000"/>
          <w:szCs w:val="22"/>
        </w:rPr>
        <w:t>6</w:t>
      </w:r>
      <w:r w:rsidRPr="00585C5E">
        <w:rPr>
          <w:b/>
          <w:color w:val="000000"/>
          <w:szCs w:val="22"/>
        </w:rPr>
        <w:t xml:space="preserve">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7" w:name="_Toc74043328"/>
      <w:r>
        <w:br w:type="page"/>
      </w:r>
    </w:p>
    <w:p w:rsidR="00585C5E" w:rsidRDefault="00AC6698" w:rsidP="00585C5E">
      <w:pPr>
        <w:pStyle w:val="affb"/>
      </w:pPr>
      <w:r w:rsidRPr="00207827">
        <w:t xml:space="preserve">Приложение </w:t>
      </w:r>
      <w:r w:rsidR="00190171">
        <w:t>7</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7"/>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1C2B7D">
      <w:pPr>
        <w:numPr>
          <w:ilvl w:val="0"/>
          <w:numId w:val="151"/>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6F6BD1" w:rsidRDefault="006F6BD1" w:rsidP="001C2B7D">
      <w:pPr>
        <w:numPr>
          <w:ilvl w:val="0"/>
          <w:numId w:val="151"/>
        </w:numPr>
        <w:spacing w:after="76"/>
        <w:ind w:right="45" w:hanging="360"/>
        <w:jc w:val="both"/>
        <w:rPr>
          <w:color w:val="000000"/>
          <w:szCs w:val="22"/>
        </w:rPr>
        <w:sectPr w:rsidR="006F6BD1" w:rsidSect="006B6937">
          <w:footerReference w:type="default" r:id="rId98"/>
          <w:pgSz w:w="11906" w:h="16838"/>
          <w:pgMar w:top="851" w:right="1758" w:bottom="851" w:left="851" w:header="709" w:footer="709" w:gutter="0"/>
          <w:cols w:space="708"/>
          <w:docGrid w:linePitch="360"/>
        </w:sectPr>
      </w:pPr>
    </w:p>
    <w:p w:rsidR="00AC6698" w:rsidRPr="00AC6698" w:rsidRDefault="00AC6698" w:rsidP="0055357F">
      <w:pPr>
        <w:spacing w:after="76"/>
        <w:ind w:left="705" w:right="45"/>
        <w:jc w:val="both"/>
        <w:rPr>
          <w:color w:val="000000"/>
          <w:szCs w:val="22"/>
        </w:rPr>
      </w:pPr>
    </w:p>
    <w:p w:rsidR="00AC6698" w:rsidRPr="006F6BD1" w:rsidRDefault="00AC6698" w:rsidP="001C2B7D">
      <w:pPr>
        <w:ind w:left="3416"/>
        <w:rPr>
          <w:b/>
          <w:color w:val="000000"/>
          <w:sz w:val="20"/>
        </w:rPr>
      </w:pPr>
      <w:r w:rsidRPr="006F6BD1">
        <w:rPr>
          <w:b/>
          <w:color w:val="000000"/>
          <w:sz w:val="20"/>
        </w:rPr>
        <w:t xml:space="preserve"> </w:t>
      </w:r>
      <w:r w:rsidR="006F6BD1" w:rsidRPr="006F6BD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8" w:name="приложение_5"/>
      <w:r>
        <w:rPr>
          <w:b w:val="0"/>
        </w:rPr>
        <w:t xml:space="preserve">  </w:t>
      </w:r>
      <w:r w:rsidR="000A0776">
        <w:rPr>
          <w:b w:val="0"/>
        </w:rPr>
        <w:t xml:space="preserve">                               </w:t>
      </w:r>
    </w:p>
    <w:p w:rsidR="00AB5DD7" w:rsidRDefault="004A5053" w:rsidP="00CC3A0D">
      <w:pPr>
        <w:pStyle w:val="affb"/>
      </w:pPr>
      <w:r>
        <w:rPr>
          <w:b w:val="0"/>
        </w:rPr>
        <w:tab/>
      </w:r>
      <w:r>
        <w:rPr>
          <w:b w:val="0"/>
        </w:rPr>
        <w:tab/>
      </w:r>
      <w:bookmarkStart w:id="49" w:name="_Toc74043329"/>
      <w:r w:rsidRPr="004A5053">
        <w:t xml:space="preserve">Приложение </w:t>
      </w:r>
      <w:r w:rsidR="00190171">
        <w:t>8</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9"/>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3" type="#_x0000_t75" style="width:11.8pt;height:20.05pt" o:ole="">
            <v:imagedata r:id="rId99" o:title=""/>
          </v:shape>
          <o:OLEObject Type="Embed" ProgID="Equation.3" ShapeID="_x0000_i1073" DrawAspect="Content" ObjectID="_1748872005" r:id="rId100"/>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4" type="#_x0000_t75" style="width:15.95pt;height:20.05pt" o:ole="">
            <v:imagedata r:id="rId101" o:title=""/>
          </v:shape>
          <o:OLEObject Type="Embed" ProgID="Equation.3" ShapeID="_x0000_i1074" DrawAspect="Content" ObjectID="_1748872006" r:id="rId102"/>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8"/>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0D56A5"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0D56A5"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Default="00EA72B7"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135E1E" w:rsidRDefault="00135E1E" w:rsidP="001C2B7D">
      <w:pPr>
        <w:tabs>
          <w:tab w:val="left" w:pos="993"/>
        </w:tabs>
        <w:jc w:val="both"/>
        <w:rPr>
          <w:rFonts w:eastAsia="Batang"/>
          <w:sz w:val="22"/>
        </w:rPr>
      </w:pPr>
    </w:p>
    <w:p w:rsidR="00135E1E" w:rsidRDefault="00135E1E" w:rsidP="00135E1E">
      <w:pPr>
        <w:pStyle w:val="affb"/>
      </w:pPr>
      <w:r w:rsidRPr="004A5053">
        <w:t xml:space="preserve">Приложение </w:t>
      </w:r>
      <w:r w:rsidR="004500B6">
        <w:t>9</w:t>
      </w:r>
    </w:p>
    <w:p w:rsidR="00135E1E" w:rsidRPr="004500B6" w:rsidRDefault="004500B6" w:rsidP="00E94324">
      <w:pPr>
        <w:pStyle w:val="affb"/>
        <w:jc w:val="center"/>
      </w:pPr>
      <w:r w:rsidRPr="00E94324">
        <w:rPr>
          <w:bCs/>
          <w:sz w:val="23"/>
          <w:szCs w:val="23"/>
        </w:rPr>
        <w:t>Соответствие шкал рейтингов различных рейтинговых агентств</w:t>
      </w:r>
    </w:p>
    <w:p w:rsidR="00E327C5" w:rsidRDefault="00E327C5" w:rsidP="001C2B7D">
      <w:pPr>
        <w:tabs>
          <w:tab w:val="left" w:pos="993"/>
        </w:tabs>
        <w:jc w:val="both"/>
        <w:rPr>
          <w:rFonts w:eastAsia="Batang"/>
          <w:sz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5"/>
        <w:gridCol w:w="1558"/>
        <w:gridCol w:w="1558"/>
        <w:gridCol w:w="1388"/>
        <w:gridCol w:w="1134"/>
        <w:gridCol w:w="1134"/>
      </w:tblGrid>
      <w:tr w:rsidR="00135E1E" w:rsidRPr="00E327C5" w:rsidTr="002716B2">
        <w:trPr>
          <w:trHeight w:val="24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АКРА (АО)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АО «Эксперт РА»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«НКР»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«НРА» </w:t>
            </w:r>
          </w:p>
        </w:tc>
        <w:tc>
          <w:tcPr>
            <w:tcW w:w="138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Moody`s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S&amp;P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Fitch </w:t>
            </w:r>
          </w:p>
        </w:tc>
      </w:tr>
      <w:tr w:rsidR="004500B6" w:rsidRPr="00E327C5" w:rsidTr="002716B2">
        <w:trPr>
          <w:trHeight w:val="90"/>
        </w:trPr>
        <w:tc>
          <w:tcPr>
            <w:tcW w:w="6799" w:type="dxa"/>
            <w:gridSpan w:val="4"/>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Национальная шкала для Российской Федерации</w:t>
            </w:r>
          </w:p>
        </w:tc>
        <w:tc>
          <w:tcPr>
            <w:tcW w:w="3653" w:type="dxa"/>
            <w:gridSpan w:val="3"/>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Международная шкала</w:t>
            </w:r>
          </w:p>
        </w:tc>
      </w:tr>
      <w:tr w:rsidR="004500B6" w:rsidRPr="00E327C5" w:rsidTr="002716B2">
        <w:trPr>
          <w:trHeight w:val="10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ruAAA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r>
      <w:tr w:rsidR="004500B6" w:rsidRPr="00E327C5" w:rsidTr="002716B2">
        <w:trPr>
          <w:trHeight w:val="253"/>
        </w:trPr>
        <w:tc>
          <w:tcPr>
            <w:tcW w:w="1555"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ruAA</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2716B2">
        <w:trPr>
          <w:trHeight w:val="253"/>
        </w:trPr>
        <w:tc>
          <w:tcPr>
            <w:tcW w:w="1555"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2716B2">
        <w:trPr>
          <w:trHeight w:val="109"/>
        </w:trPr>
        <w:tc>
          <w:tcPr>
            <w:tcW w:w="1555" w:type="dxa"/>
          </w:tcPr>
          <w:p w:rsidR="00135E1E"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 (RU),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 ruA-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2716B2">
        <w:trPr>
          <w:trHeight w:val="253"/>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2716B2">
        <w:trPr>
          <w:trHeight w:val="10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ruB,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247"/>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ruССС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391"/>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ruCC и ниже (не включая ruD)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2716B2">
        <w:trPr>
          <w:trHeight w:val="109"/>
        </w:trPr>
        <w:tc>
          <w:tcPr>
            <w:tcW w:w="1555"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138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r>
    </w:tbl>
    <w:p w:rsidR="00E327C5" w:rsidRPr="008F3278" w:rsidRDefault="00E327C5" w:rsidP="001C2B7D">
      <w:pPr>
        <w:tabs>
          <w:tab w:val="left" w:pos="993"/>
        </w:tabs>
        <w:jc w:val="both"/>
        <w:rPr>
          <w:rFonts w:eastAsia="Batang"/>
          <w:sz w:val="22"/>
        </w:rPr>
      </w:pPr>
    </w:p>
    <w:sectPr w:rsidR="00E327C5"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09" w:rsidRDefault="00EC6509" w:rsidP="003830AE">
      <w:r>
        <w:separator/>
      </w:r>
    </w:p>
  </w:endnote>
  <w:endnote w:type="continuationSeparator" w:id="0">
    <w:p w:rsidR="00EC6509" w:rsidRDefault="00EC6509"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1E" w:rsidRDefault="00135E1E">
    <w:pPr>
      <w:pStyle w:val="af4"/>
      <w:jc w:val="right"/>
    </w:pPr>
    <w:r>
      <w:fldChar w:fldCharType="begin"/>
    </w:r>
    <w:r>
      <w:instrText>PAGE   \* MERGEFORMAT</w:instrText>
    </w:r>
    <w:r>
      <w:fldChar w:fldCharType="separate"/>
    </w:r>
    <w:r w:rsidR="000D56A5">
      <w:rPr>
        <w:noProof/>
      </w:rPr>
      <w:t>1</w:t>
    </w:r>
    <w:r>
      <w:fldChar w:fldCharType="end"/>
    </w:r>
  </w:p>
  <w:p w:rsidR="00135E1E" w:rsidRDefault="00135E1E">
    <w:pPr>
      <w:pStyle w:val="af4"/>
    </w:pPr>
  </w:p>
  <w:p w:rsidR="00135E1E" w:rsidRDefault="00135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09" w:rsidRDefault="00EC6509" w:rsidP="003830AE">
      <w:r>
        <w:separator/>
      </w:r>
    </w:p>
  </w:footnote>
  <w:footnote w:type="continuationSeparator" w:id="0">
    <w:p w:rsidR="00EC6509" w:rsidRDefault="00EC6509" w:rsidP="003830AE">
      <w:r>
        <w:continuationSeparator/>
      </w:r>
    </w:p>
  </w:footnote>
  <w:footnote w:id="1">
    <w:p w:rsidR="00135E1E" w:rsidRPr="00E94324" w:rsidRDefault="00135E1E" w:rsidP="00D6688D">
      <w:pPr>
        <w:pStyle w:val="ad"/>
        <w:jc w:val="both"/>
        <w:rPr>
          <w:sz w:val="10"/>
          <w:szCs w:val="10"/>
        </w:rPr>
      </w:pPr>
      <w:r>
        <w:rPr>
          <w:rStyle w:val="af"/>
        </w:rPr>
        <w:footnoteRef/>
      </w:r>
      <w:r>
        <w:t xml:space="preserve"> </w:t>
      </w:r>
      <w:r w:rsidRPr="00E94324">
        <w:rPr>
          <w:sz w:val="10"/>
          <w:szCs w:val="10"/>
        </w:rPr>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rsidR="00135E1E" w:rsidRPr="00E94324" w:rsidRDefault="00135E1E" w:rsidP="00D6688D">
      <w:pPr>
        <w:pStyle w:val="ad"/>
        <w:jc w:val="both"/>
        <w:rPr>
          <w:sz w:val="10"/>
          <w:szCs w:val="10"/>
        </w:rPr>
      </w:pPr>
      <w:r>
        <w:rPr>
          <w:rStyle w:val="af"/>
        </w:rPr>
        <w:footnoteRef/>
      </w:r>
      <w:r>
        <w:t xml:space="preserve"> </w:t>
      </w:r>
      <w:r w:rsidRPr="00E94324">
        <w:rPr>
          <w:rFonts w:ascii="Times New Roman" w:hAnsi="Times New Roman"/>
          <w:sz w:val="10"/>
          <w:szCs w:val="10"/>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rsidR="00135E1E" w:rsidRPr="00E94324" w:rsidRDefault="00135E1E" w:rsidP="00D6688D">
      <w:pPr>
        <w:pStyle w:val="ad"/>
        <w:jc w:val="both"/>
        <w:rPr>
          <w:rFonts w:ascii="Times New Roman" w:hAnsi="Times New Roman"/>
          <w:sz w:val="10"/>
          <w:szCs w:val="10"/>
        </w:rPr>
      </w:pPr>
      <w:r>
        <w:rPr>
          <w:rStyle w:val="af"/>
        </w:rPr>
        <w:footnoteRef/>
      </w:r>
      <w:r>
        <w:t xml:space="preserve"> </w:t>
      </w:r>
      <w:r w:rsidRPr="00E94324">
        <w:rPr>
          <w:rFonts w:ascii="Times New Roman" w:hAnsi="Times New Roman"/>
          <w:sz w:val="10"/>
          <w:szCs w:val="10"/>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135E1E" w:rsidRDefault="00135E1E" w:rsidP="00D6688D">
      <w:pPr>
        <w:pStyle w:val="ad"/>
        <w:jc w:val="both"/>
      </w:pPr>
      <w:r w:rsidRPr="00E94324">
        <w:rPr>
          <w:rFonts w:ascii="Times New Roman" w:hAnsi="Times New Roman"/>
          <w:sz w:val="10"/>
          <w:szCs w:val="10"/>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rsidR="00135E1E" w:rsidRPr="00E94324" w:rsidRDefault="00135E1E" w:rsidP="00AF1D7D">
      <w:pPr>
        <w:pStyle w:val="ad"/>
        <w:rPr>
          <w:sz w:val="16"/>
          <w:szCs w:val="16"/>
        </w:rPr>
      </w:pPr>
      <w:r w:rsidRPr="00E94324">
        <w:rPr>
          <w:rStyle w:val="af"/>
          <w:sz w:val="16"/>
          <w:szCs w:val="16"/>
        </w:rPr>
        <w:footnoteRef/>
      </w:r>
      <w:r w:rsidRPr="00E94324">
        <w:rPr>
          <w:sz w:val="16"/>
          <w:szCs w:val="16"/>
        </w:rPr>
        <w:t xml:space="preserve"> </w:t>
      </w:r>
      <w:hyperlink r:id="rId1" w:history="1">
        <w:r w:rsidRPr="00E94324">
          <w:rPr>
            <w:rStyle w:val="a7"/>
            <w:sz w:val="16"/>
            <w:szCs w:val="16"/>
          </w:rPr>
          <w:t>https://home.treasury.gov/resource-center/data-chart-center/interest-rates/TextView?type=daily_treasury_yield_curve&amp;field_tdr_date_value_month=202211</w:t>
        </w:r>
      </w:hyperlink>
    </w:p>
    <w:p w:rsidR="00135E1E" w:rsidRPr="00E94324" w:rsidRDefault="00135E1E" w:rsidP="00AF1D7D">
      <w:pPr>
        <w:pStyle w:val="ad"/>
        <w:rPr>
          <w:sz w:val="16"/>
          <w:szCs w:val="16"/>
        </w:rPr>
      </w:pPr>
    </w:p>
  </w:footnote>
  <w:footnote w:id="5">
    <w:p w:rsidR="00135E1E" w:rsidRPr="00E94324" w:rsidRDefault="00135E1E" w:rsidP="00AF1D7D">
      <w:pPr>
        <w:pStyle w:val="ad"/>
        <w:rPr>
          <w:sz w:val="16"/>
          <w:szCs w:val="16"/>
        </w:rPr>
      </w:pPr>
      <w:r w:rsidRPr="00E94324">
        <w:rPr>
          <w:rStyle w:val="af"/>
          <w:sz w:val="16"/>
          <w:szCs w:val="16"/>
        </w:rPr>
        <w:footnoteRef/>
      </w:r>
      <w:r w:rsidRPr="00E94324">
        <w:rPr>
          <w:sz w:val="16"/>
          <w:szCs w:val="16"/>
        </w:rPr>
        <w:t xml:space="preserve"> </w:t>
      </w:r>
      <w:hyperlink r:id="rId2" w:history="1">
        <w:r w:rsidRPr="00E94324">
          <w:rPr>
            <w:rStyle w:val="a7"/>
            <w:sz w:val="16"/>
            <w:szCs w:val="16"/>
          </w:rPr>
          <w:t>https://www.ecb.europa.eu/stats/financial_markets_and_interest_rates/euro_area_yield_curves/html/index.en.html</w:t>
        </w:r>
      </w:hyperlink>
      <w:r w:rsidRPr="00E94324">
        <w:rPr>
          <w:rStyle w:val="a7"/>
          <w:sz w:val="16"/>
          <w:szCs w:val="16"/>
        </w:rPr>
        <w:t xml:space="preserve"> Используются значения параметра </w:t>
      </w:r>
      <w:r w:rsidRPr="00E94324">
        <w:rPr>
          <w:rStyle w:val="a7"/>
          <w:sz w:val="16"/>
          <w:szCs w:val="16"/>
          <w:lang w:val="en-US"/>
        </w:rPr>
        <w:t>Spot</w:t>
      </w:r>
      <w:r w:rsidRPr="00E94324">
        <w:rPr>
          <w:rStyle w:val="a7"/>
          <w:sz w:val="16"/>
          <w:szCs w:val="16"/>
        </w:rPr>
        <w:t xml:space="preserve"> </w:t>
      </w:r>
      <w:r w:rsidRPr="00E94324">
        <w:rPr>
          <w:rStyle w:val="a7"/>
          <w:sz w:val="16"/>
          <w:szCs w:val="16"/>
          <w:lang w:val="en-US"/>
        </w:rPr>
        <w:t>Rate</w:t>
      </w:r>
      <w:r w:rsidRPr="00E94324">
        <w:rPr>
          <w:rStyle w:val="a7"/>
          <w:sz w:val="16"/>
          <w:szCs w:val="16"/>
        </w:rPr>
        <w:t xml:space="preserve"> для всех доступных облигаций (</w:t>
      </w:r>
      <w:r w:rsidRPr="00E94324">
        <w:rPr>
          <w:rStyle w:val="a7"/>
          <w:sz w:val="16"/>
          <w:szCs w:val="16"/>
          <w:lang w:val="en-US"/>
        </w:rPr>
        <w:t>all</w:t>
      </w:r>
      <w:r w:rsidRPr="00E94324">
        <w:rPr>
          <w:rStyle w:val="a7"/>
          <w:sz w:val="16"/>
          <w:szCs w:val="16"/>
        </w:rPr>
        <w:t xml:space="preserve"> </w:t>
      </w:r>
      <w:r w:rsidRPr="00E94324">
        <w:rPr>
          <w:rStyle w:val="a7"/>
          <w:sz w:val="16"/>
          <w:szCs w:val="16"/>
          <w:lang w:val="en-US"/>
        </w:rPr>
        <w:t>bonds</w:t>
      </w:r>
      <w:r w:rsidRPr="00E94324">
        <w:rPr>
          <w:rStyle w:val="a7"/>
          <w:sz w:val="16"/>
          <w:szCs w:val="16"/>
        </w:rPr>
        <w:t>).</w:t>
      </w:r>
    </w:p>
  </w:footnote>
  <w:footnote w:id="6">
    <w:p w:rsidR="00135E1E" w:rsidRPr="00E94324" w:rsidRDefault="00135E1E" w:rsidP="00AF1D7D">
      <w:pPr>
        <w:pStyle w:val="ad"/>
        <w:rPr>
          <w:sz w:val="16"/>
          <w:szCs w:val="16"/>
        </w:rPr>
      </w:pPr>
      <w:r w:rsidRPr="00E94324">
        <w:rPr>
          <w:rStyle w:val="af"/>
          <w:sz w:val="16"/>
          <w:szCs w:val="16"/>
        </w:rPr>
        <w:footnoteRef/>
      </w:r>
      <w:r w:rsidRPr="00E94324">
        <w:rPr>
          <w:sz w:val="16"/>
          <w:szCs w:val="16"/>
        </w:rPr>
        <w:t xml:space="preserve"> </w:t>
      </w:r>
      <w:r w:rsidRPr="00E94324">
        <w:rPr>
          <w:rFonts w:ascii="Times New Roman" w:hAnsi="Times New Roman"/>
          <w:sz w:val="16"/>
          <w:szCs w:val="16"/>
        </w:rPr>
        <w:t>Под датой оферты (Put-оферта) понимается дата наступления события оферта, определенная условиями выпуска.</w:t>
      </w:r>
    </w:p>
  </w:footnote>
  <w:footnote w:id="7">
    <w:p w:rsidR="00135E1E" w:rsidRDefault="00135E1E"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rsidR="00135E1E" w:rsidRDefault="00135E1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rsidR="00135E1E" w:rsidRPr="00934212" w:rsidRDefault="00135E1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rsidR="00135E1E" w:rsidRDefault="00135E1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rsidR="00135E1E" w:rsidRPr="00934212" w:rsidRDefault="00135E1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rsidR="00135E1E" w:rsidRDefault="00135E1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rsidR="00135E1E" w:rsidRPr="00BE449B" w:rsidRDefault="00135E1E"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rsidR="00135E1E" w:rsidRPr="00FC2DDA" w:rsidRDefault="00135E1E"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rsidR="00135E1E" w:rsidRPr="00FD4F9A" w:rsidRDefault="00135E1E"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rsidR="00135E1E" w:rsidRPr="00404E0B" w:rsidRDefault="00135E1E"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135E1E" w:rsidRPr="00404E0B" w:rsidRDefault="00135E1E"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135E1E" w:rsidRPr="00E2653F" w:rsidRDefault="00135E1E"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rsidR="00135E1E" w:rsidRPr="000C2205" w:rsidRDefault="00135E1E" w:rsidP="006B6937">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rsidR="00135E1E" w:rsidRDefault="00135E1E"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rsidR="00135E1E" w:rsidRDefault="00135E1E"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rsidR="00135E1E" w:rsidRPr="002F7235" w:rsidRDefault="00135E1E">
      <w:pPr>
        <w:pStyle w:val="ad"/>
      </w:pPr>
      <w:r w:rsidRPr="00E94324">
        <w:rPr>
          <w:rStyle w:val="af"/>
          <w:rFonts w:ascii="Times New Roman" w:hAnsi="Times New Roman"/>
          <w:sz w:val="16"/>
          <w:szCs w:val="16"/>
        </w:rPr>
        <w:footnoteRef/>
      </w:r>
      <w:r w:rsidRPr="00E94324">
        <w:t xml:space="preserve"> </w:t>
      </w:r>
      <w:r w:rsidRPr="00E94324">
        <w:rPr>
          <w:rFonts w:ascii="Times New Roman" w:hAnsi="Times New Roman"/>
          <w:sz w:val="16"/>
          <w:szCs w:val="16"/>
        </w:rPr>
        <w:t>https://www.raexpert.ru/about/disclosure/</w:t>
      </w:r>
      <w:r>
        <w:rPr>
          <w:sz w:val="20"/>
        </w:rPr>
        <w:t xml:space="preserve"> </w:t>
      </w:r>
      <w:r>
        <w:t xml:space="preserve"> </w:t>
      </w:r>
    </w:p>
  </w:footnote>
  <w:footnote w:id="21">
    <w:p w:rsidR="00135E1E" w:rsidRPr="00EB4F7B" w:rsidRDefault="00135E1E" w:rsidP="0031618A">
      <w:pPr>
        <w:pStyle w:val="ad"/>
        <w:jc w:val="both"/>
      </w:pPr>
      <w:r w:rsidRPr="00E94324">
        <w:rPr>
          <w:rStyle w:val="af"/>
          <w:rFonts w:ascii="Times New Roman" w:eastAsia="Times New Roman" w:hAnsi="Times New Roman"/>
          <w:sz w:val="16"/>
          <w:szCs w:val="16"/>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rsidR="00135E1E" w:rsidRPr="001E2425" w:rsidRDefault="00135E1E"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135E1E" w:rsidRPr="001E2425" w:rsidRDefault="00135E1E"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rsidR="00135E1E" w:rsidRDefault="00135E1E" w:rsidP="007D0736">
      <w:pPr>
        <w:pStyle w:val="footnotedescription"/>
      </w:pPr>
      <w:r>
        <w:rPr>
          <w:rStyle w:val="footnotemark"/>
        </w:rPr>
        <w:footnoteRef/>
      </w:r>
      <w:r>
        <w:t xml:space="preserve"> Например, гостиницы, хостелы и т.п. </w:t>
      </w:r>
    </w:p>
  </w:footnote>
  <w:footnote w:id="24">
    <w:p w:rsidR="00135E1E" w:rsidRPr="00B14325" w:rsidRDefault="00135E1E"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rsidR="00135E1E" w:rsidRPr="00FE471A" w:rsidRDefault="00135E1E"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AD24C87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6E0E18"/>
    <w:multiLevelType w:val="hybridMultilevel"/>
    <w:tmpl w:val="E9620672"/>
    <w:lvl w:ilvl="0" w:tplc="7BDAE362">
      <w:start w:val="3"/>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4"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5"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3E6B8B"/>
    <w:multiLevelType w:val="multilevel"/>
    <w:tmpl w:val="DC5E8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5"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8"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1"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8"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61"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4"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6"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8"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2"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4"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0"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2"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8"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3"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4"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5"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6"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7"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8"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2"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5"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8"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2"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6"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9"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1"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3"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5"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7"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9"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3"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4"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36"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9"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1"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3"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4"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7"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0"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51"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52"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3"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9"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F4D65AC"/>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5"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6"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9"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70"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1"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72"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1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7"/>
  </w:num>
  <w:num w:numId="2">
    <w:abstractNumId w:val="157"/>
  </w:num>
  <w:num w:numId="3">
    <w:abstractNumId w:val="184"/>
  </w:num>
  <w:num w:numId="4">
    <w:abstractNumId w:val="4"/>
  </w:num>
  <w:num w:numId="5">
    <w:abstractNumId w:val="118"/>
  </w:num>
  <w:num w:numId="6">
    <w:abstractNumId w:val="161"/>
  </w:num>
  <w:num w:numId="7">
    <w:abstractNumId w:val="33"/>
  </w:num>
  <w:num w:numId="8">
    <w:abstractNumId w:val="209"/>
  </w:num>
  <w:num w:numId="9">
    <w:abstractNumId w:val="12"/>
  </w:num>
  <w:num w:numId="10">
    <w:abstractNumId w:val="142"/>
  </w:num>
  <w:num w:numId="11">
    <w:abstractNumId w:val="9"/>
  </w:num>
  <w:num w:numId="12">
    <w:abstractNumId w:val="17"/>
  </w:num>
  <w:num w:numId="13">
    <w:abstractNumId w:val="44"/>
  </w:num>
  <w:num w:numId="14">
    <w:abstractNumId w:val="65"/>
  </w:num>
  <w:num w:numId="15">
    <w:abstractNumId w:val="72"/>
  </w:num>
  <w:num w:numId="16">
    <w:abstractNumId w:val="199"/>
  </w:num>
  <w:num w:numId="17">
    <w:abstractNumId w:val="186"/>
  </w:num>
  <w:num w:numId="18">
    <w:abstractNumId w:val="140"/>
  </w:num>
  <w:num w:numId="19">
    <w:abstractNumId w:val="120"/>
  </w:num>
  <w:num w:numId="20">
    <w:abstractNumId w:val="125"/>
  </w:num>
  <w:num w:numId="21">
    <w:abstractNumId w:val="11"/>
  </w:num>
  <w:num w:numId="22">
    <w:abstractNumId w:val="1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144"/>
  </w:num>
  <w:num w:numId="25">
    <w:abstractNumId w:val="202"/>
  </w:num>
  <w:num w:numId="26">
    <w:abstractNumId w:val="162"/>
  </w:num>
  <w:num w:numId="27">
    <w:abstractNumId w:val="105"/>
  </w:num>
  <w:num w:numId="28">
    <w:abstractNumId w:val="82"/>
  </w:num>
  <w:num w:numId="29">
    <w:abstractNumId w:val="90"/>
  </w:num>
  <w:num w:numId="30">
    <w:abstractNumId w:val="147"/>
  </w:num>
  <w:num w:numId="31">
    <w:abstractNumId w:val="39"/>
  </w:num>
  <w:num w:numId="32">
    <w:abstractNumId w:val="5"/>
  </w:num>
  <w:num w:numId="33">
    <w:abstractNumId w:val="10"/>
  </w:num>
  <w:num w:numId="34">
    <w:abstractNumId w:val="188"/>
  </w:num>
  <w:num w:numId="35">
    <w:abstractNumId w:val="48"/>
  </w:num>
  <w:num w:numId="36">
    <w:abstractNumId w:val="116"/>
  </w:num>
  <w:num w:numId="37">
    <w:abstractNumId w:val="176"/>
  </w:num>
  <w:num w:numId="38">
    <w:abstractNumId w:val="124"/>
  </w:num>
  <w:num w:numId="39">
    <w:abstractNumId w:val="192"/>
  </w:num>
  <w:num w:numId="40">
    <w:abstractNumId w:val="86"/>
  </w:num>
  <w:num w:numId="41">
    <w:abstractNumId w:val="71"/>
  </w:num>
  <w:num w:numId="42">
    <w:abstractNumId w:val="25"/>
  </w:num>
  <w:num w:numId="43">
    <w:abstractNumId w:val="76"/>
  </w:num>
  <w:num w:numId="44">
    <w:abstractNumId w:val="104"/>
  </w:num>
  <w:num w:numId="45">
    <w:abstractNumId w:val="20"/>
  </w:num>
  <w:num w:numId="46">
    <w:abstractNumId w:val="63"/>
  </w:num>
  <w:num w:numId="47">
    <w:abstractNumId w:val="63"/>
    <w:lvlOverride w:ilvl="0">
      <w:startOverride w:val="1"/>
    </w:lvlOverride>
  </w:num>
  <w:num w:numId="48">
    <w:abstractNumId w:val="53"/>
  </w:num>
  <w:num w:numId="49">
    <w:abstractNumId w:val="122"/>
  </w:num>
  <w:num w:numId="50">
    <w:abstractNumId w:val="1"/>
  </w:num>
  <w:num w:numId="51">
    <w:abstractNumId w:val="59"/>
  </w:num>
  <w:num w:numId="52">
    <w:abstractNumId w:val="21"/>
  </w:num>
  <w:num w:numId="53">
    <w:abstractNumId w:val="66"/>
  </w:num>
  <w:num w:numId="54">
    <w:abstractNumId w:val="185"/>
  </w:num>
  <w:num w:numId="55">
    <w:abstractNumId w:val="108"/>
  </w:num>
  <w:num w:numId="56">
    <w:abstractNumId w:val="27"/>
  </w:num>
  <w:num w:numId="57">
    <w:abstractNumId w:val="171"/>
  </w:num>
  <w:num w:numId="58">
    <w:abstractNumId w:val="13"/>
  </w:num>
  <w:num w:numId="59">
    <w:abstractNumId w:val="65"/>
  </w:num>
  <w:num w:numId="60">
    <w:abstractNumId w:val="60"/>
  </w:num>
  <w:num w:numId="61">
    <w:abstractNumId w:val="102"/>
  </w:num>
  <w:num w:numId="62">
    <w:abstractNumId w:val="111"/>
  </w:num>
  <w:num w:numId="63">
    <w:abstractNumId w:val="98"/>
  </w:num>
  <w:num w:numId="64">
    <w:abstractNumId w:val="154"/>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88"/>
  </w:num>
  <w:num w:numId="68">
    <w:abstractNumId w:val="26"/>
  </w:num>
  <w:num w:numId="69">
    <w:abstractNumId w:val="194"/>
  </w:num>
  <w:num w:numId="70">
    <w:abstractNumId w:val="43"/>
  </w:num>
  <w:num w:numId="71">
    <w:abstractNumId w:val="155"/>
  </w:num>
  <w:num w:numId="72">
    <w:abstractNumId w:val="114"/>
  </w:num>
  <w:num w:numId="73">
    <w:abstractNumId w:val="16"/>
  </w:num>
  <w:num w:numId="74">
    <w:abstractNumId w:val="112"/>
  </w:num>
  <w:num w:numId="75">
    <w:abstractNumId w:val="137"/>
  </w:num>
  <w:num w:numId="76">
    <w:abstractNumId w:val="37"/>
  </w:num>
  <w:num w:numId="7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3"/>
  </w:num>
  <w:num w:numId="79">
    <w:abstractNumId w:val="212"/>
  </w:num>
  <w:num w:numId="80">
    <w:abstractNumId w:val="172"/>
  </w:num>
  <w:num w:numId="81">
    <w:abstractNumId w:val="204"/>
  </w:num>
  <w:num w:numId="82">
    <w:abstractNumId w:val="47"/>
  </w:num>
  <w:num w:numId="83">
    <w:abstractNumId w:val="68"/>
  </w:num>
  <w:num w:numId="84">
    <w:abstractNumId w:val="94"/>
  </w:num>
  <w:num w:numId="85">
    <w:abstractNumId w:val="126"/>
  </w:num>
  <w:num w:numId="86">
    <w:abstractNumId w:val="0"/>
  </w:num>
  <w:num w:numId="87">
    <w:abstractNumId w:val="31"/>
  </w:num>
  <w:num w:numId="88">
    <w:abstractNumId w:val="134"/>
  </w:num>
  <w:num w:numId="89">
    <w:abstractNumId w:val="46"/>
  </w:num>
  <w:num w:numId="90">
    <w:abstractNumId w:val="50"/>
  </w:num>
  <w:num w:numId="91">
    <w:abstractNumId w:val="36"/>
  </w:num>
  <w:num w:numId="92">
    <w:abstractNumId w:val="34"/>
  </w:num>
  <w:num w:numId="93">
    <w:abstractNumId w:val="67"/>
  </w:num>
  <w:num w:numId="9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6"/>
  </w:num>
  <w:num w:numId="96">
    <w:abstractNumId w:val="181"/>
  </w:num>
  <w:num w:numId="97">
    <w:abstractNumId w:val="113"/>
  </w:num>
  <w:num w:numId="98">
    <w:abstractNumId w:val="180"/>
  </w:num>
  <w:num w:numId="99">
    <w:abstractNumId w:val="206"/>
  </w:num>
  <w:num w:numId="100">
    <w:abstractNumId w:val="190"/>
  </w:num>
  <w:num w:numId="101">
    <w:abstractNumId w:val="145"/>
  </w:num>
  <w:num w:numId="102">
    <w:abstractNumId w:val="146"/>
  </w:num>
  <w:num w:numId="103">
    <w:abstractNumId w:val="152"/>
  </w:num>
  <w:num w:numId="104">
    <w:abstractNumId w:val="191"/>
  </w:num>
  <w:num w:numId="105">
    <w:abstractNumId w:val="97"/>
  </w:num>
  <w:num w:numId="106">
    <w:abstractNumId w:val="123"/>
  </w:num>
  <w:num w:numId="10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8"/>
  </w:num>
  <w:num w:numId="109">
    <w:abstractNumId w:val="38"/>
  </w:num>
  <w:num w:numId="110">
    <w:abstractNumId w:val="55"/>
  </w:num>
  <w:num w:numId="111">
    <w:abstractNumId w:val="151"/>
  </w:num>
  <w:num w:numId="112">
    <w:abstractNumId w:val="170"/>
  </w:num>
  <w:num w:numId="113">
    <w:abstractNumId w:val="163"/>
  </w:num>
  <w:num w:numId="114">
    <w:abstractNumId w:val="42"/>
  </w:num>
  <w:num w:numId="115">
    <w:abstractNumId w:val="101"/>
  </w:num>
  <w:num w:numId="116">
    <w:abstractNumId w:val="19"/>
  </w:num>
  <w:num w:numId="117">
    <w:abstractNumId w:val="132"/>
  </w:num>
  <w:num w:numId="118">
    <w:abstractNumId w:val="84"/>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1"/>
  </w:num>
  <w:num w:numId="121">
    <w:abstractNumId w:val="92"/>
  </w:num>
  <w:num w:numId="122">
    <w:abstractNumId w:val="195"/>
  </w:num>
  <w:num w:numId="123">
    <w:abstractNumId w:val="79"/>
  </w:num>
  <w:num w:numId="124">
    <w:abstractNumId w:val="205"/>
  </w:num>
  <w:num w:numId="125">
    <w:abstractNumId w:val="121"/>
  </w:num>
  <w:num w:numId="1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0"/>
  </w:num>
  <w:num w:numId="128">
    <w:abstractNumId w:val="150"/>
  </w:num>
  <w:num w:numId="12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0"/>
  </w:num>
  <w:num w:numId="134">
    <w:abstractNumId w:val="20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7"/>
  </w:num>
  <w:num w:numId="136">
    <w:abstractNumId w:val="16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num>
  <w:num w:numId="138">
    <w:abstractNumId w:val="74"/>
  </w:num>
  <w:num w:numId="139">
    <w:abstractNumId w:val="20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8"/>
  </w:num>
  <w:num w:numId="142">
    <w:abstractNumId w:val="115"/>
  </w:num>
  <w:num w:numId="143">
    <w:abstractNumId w:val="93"/>
  </w:num>
  <w:num w:numId="144">
    <w:abstractNumId w:val="40"/>
  </w:num>
  <w:num w:numId="145">
    <w:abstractNumId w:val="210"/>
  </w:num>
  <w:num w:numId="146">
    <w:abstractNumId w:val="159"/>
  </w:num>
  <w:num w:numId="147">
    <w:abstractNumId w:val="139"/>
  </w:num>
  <w:num w:numId="148">
    <w:abstractNumId w:val="78"/>
  </w:num>
  <w:num w:numId="149">
    <w:abstractNumId w:val="45"/>
  </w:num>
  <w:num w:numId="150">
    <w:abstractNumId w:val="177"/>
  </w:num>
  <w:num w:numId="151">
    <w:abstractNumId w:val="75"/>
  </w:num>
  <w:num w:numId="152">
    <w:abstractNumId w:val="51"/>
  </w:num>
  <w:num w:numId="153">
    <w:abstractNumId w:val="100"/>
  </w:num>
  <w:num w:numId="154">
    <w:abstractNumId w:val="3"/>
  </w:num>
  <w:num w:numId="155">
    <w:abstractNumId w:val="41"/>
  </w:num>
  <w:num w:numId="156">
    <w:abstractNumId w:val="58"/>
  </w:num>
  <w:num w:numId="157">
    <w:abstractNumId w:val="189"/>
  </w:num>
  <w:num w:numId="158">
    <w:abstractNumId w:val="106"/>
  </w:num>
  <w:num w:numId="159">
    <w:abstractNumId w:val="173"/>
  </w:num>
  <w:num w:numId="160">
    <w:abstractNumId w:val="193"/>
  </w:num>
  <w:num w:numId="161">
    <w:abstractNumId w:val="179"/>
  </w:num>
  <w:num w:numId="162">
    <w:abstractNumId w:val="96"/>
  </w:num>
  <w:num w:numId="163">
    <w:abstractNumId w:val="187"/>
  </w:num>
  <w:num w:numId="164">
    <w:abstractNumId w:val="73"/>
  </w:num>
  <w:num w:numId="165">
    <w:abstractNumId w:val="211"/>
  </w:num>
  <w:num w:numId="166">
    <w:abstractNumId w:val="70"/>
  </w:num>
  <w:num w:numId="167">
    <w:abstractNumId w:val="136"/>
  </w:num>
  <w:num w:numId="168">
    <w:abstractNumId w:val="198"/>
  </w:num>
  <w:num w:numId="169">
    <w:abstractNumId w:val="117"/>
  </w:num>
  <w:num w:numId="170">
    <w:abstractNumId w:val="57"/>
  </w:num>
  <w:num w:numId="171">
    <w:abstractNumId w:val="107"/>
  </w:num>
  <w:num w:numId="172">
    <w:abstractNumId w:val="107"/>
  </w:num>
  <w:num w:numId="173">
    <w:abstractNumId w:val="208"/>
  </w:num>
  <w:num w:numId="174">
    <w:abstractNumId w:val="107"/>
  </w:num>
  <w:num w:numId="175">
    <w:abstractNumId w:val="91"/>
  </w:num>
  <w:num w:numId="176">
    <w:abstractNumId w:val="129"/>
  </w:num>
  <w:num w:numId="177">
    <w:abstractNumId w:val="2"/>
  </w:num>
  <w:num w:numId="178">
    <w:abstractNumId w:val="153"/>
  </w:num>
  <w:num w:numId="179">
    <w:abstractNumId w:val="153"/>
  </w:num>
  <w:num w:numId="180">
    <w:abstractNumId w:val="107"/>
  </w:num>
  <w:num w:numId="181">
    <w:abstractNumId w:val="157"/>
  </w:num>
  <w:num w:numId="182">
    <w:abstractNumId w:val="160"/>
  </w:num>
  <w:num w:numId="183">
    <w:abstractNumId w:val="207"/>
  </w:num>
  <w:num w:numId="184">
    <w:abstractNumId w:val="110"/>
  </w:num>
  <w:num w:numId="185">
    <w:abstractNumId w:val="99"/>
  </w:num>
  <w:num w:numId="186">
    <w:abstractNumId w:val="83"/>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57"/>
  </w:num>
  <w:num w:numId="195">
    <w:abstractNumId w:val="157"/>
  </w:num>
  <w:num w:numId="196">
    <w:abstractNumId w:val="130"/>
  </w:num>
  <w:num w:numId="197">
    <w:abstractNumId w:val="87"/>
  </w:num>
  <w:num w:numId="198">
    <w:abstractNumId w:val="165"/>
  </w:num>
  <w:num w:numId="199">
    <w:abstractNumId w:val="182"/>
  </w:num>
  <w:num w:numId="20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2"/>
  </w:num>
  <w:num w:numId="204">
    <w:abstractNumId w:val="64"/>
  </w:num>
  <w:num w:numId="205">
    <w:abstractNumId w:val="175"/>
  </w:num>
  <w:num w:numId="206">
    <w:abstractNumId w:val="61"/>
  </w:num>
  <w:num w:numId="207">
    <w:abstractNumId w:val="149"/>
  </w:num>
  <w:num w:numId="208">
    <w:abstractNumId w:val="197"/>
  </w:num>
  <w:num w:numId="209">
    <w:abstractNumId w:val="69"/>
  </w:num>
  <w:num w:numId="210">
    <w:abstractNumId w:val="166"/>
  </w:num>
  <w:num w:numId="211">
    <w:abstractNumId w:val="95"/>
  </w:num>
  <w:num w:numId="212">
    <w:abstractNumId w:val="157"/>
  </w:num>
  <w:num w:numId="213">
    <w:abstractNumId w:val="32"/>
  </w:num>
  <w:num w:numId="214">
    <w:abstractNumId w:val="22"/>
  </w:num>
  <w:num w:numId="215">
    <w:abstractNumId w:val="62"/>
  </w:num>
  <w:num w:numId="216">
    <w:abstractNumId w:val="201"/>
  </w:num>
  <w:num w:numId="217">
    <w:abstractNumId w:val="148"/>
  </w:num>
  <w:num w:numId="218">
    <w:abstractNumId w:val="7"/>
  </w:num>
  <w:num w:numId="219">
    <w:abstractNumId w:val="6"/>
  </w:num>
  <w:num w:numId="220">
    <w:abstractNumId w:val="23"/>
  </w:num>
  <w:num w:numId="221">
    <w:abstractNumId w:val="174"/>
  </w:num>
  <w:num w:numId="222">
    <w:abstractNumId w:val="156"/>
  </w:num>
  <w:num w:numId="223">
    <w:abstractNumId w:val="138"/>
  </w:num>
  <w:num w:numId="224">
    <w:abstractNumId w:val="30"/>
  </w:num>
  <w:num w:numId="225">
    <w:abstractNumId w:val="169"/>
  </w:num>
  <w:num w:numId="226">
    <w:abstractNumId w:val="85"/>
  </w:num>
  <w:num w:numId="227">
    <w:abstractNumId w:val="49"/>
  </w:num>
  <w:num w:numId="228">
    <w:abstractNumId w:val="35"/>
  </w:num>
  <w:num w:numId="229">
    <w:abstractNumId w:val="119"/>
  </w:num>
  <w:num w:numId="230">
    <w:abstractNumId w:val="143"/>
  </w:num>
  <w:num w:numId="231">
    <w:abstractNumId w:val="80"/>
  </w:num>
  <w:num w:numId="232">
    <w:abstractNumId w:val="183"/>
  </w:num>
  <w:num w:numId="233">
    <w:abstractNumId w:val="157"/>
  </w:num>
  <w:num w:numId="234">
    <w:abstractNumId w:val="157"/>
  </w:num>
  <w:num w:numId="235">
    <w:abstractNumId w:val="157"/>
  </w:num>
  <w:num w:numId="236">
    <w:abstractNumId w:val="157"/>
  </w:num>
  <w:num w:numId="237">
    <w:abstractNumId w:val="164"/>
  </w:num>
  <w:num w:numId="238">
    <w:abstractNumId w:val="131"/>
  </w:num>
  <w:num w:numId="239">
    <w:abstractNumId w:val="77"/>
  </w:num>
  <w:num w:numId="240">
    <w:abstractNumId w:val="141"/>
  </w:num>
  <w:num w:numId="241">
    <w:abstractNumId w:val="28"/>
  </w:num>
  <w:num w:numId="242">
    <w:abstractNumId w:val="109"/>
  </w:num>
  <w:num w:numId="243">
    <w:abstractNumId w:val="54"/>
  </w:num>
  <w:num w:numId="244">
    <w:abstractNumId w:val="127"/>
  </w:num>
  <w:num w:numId="245">
    <w:abstractNumId w:val="178"/>
  </w:num>
  <w:num w:numId="246">
    <w:abstractNumId w:val="18"/>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56C59"/>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6A5"/>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0F8A"/>
    <w:rsid w:val="00111E06"/>
    <w:rsid w:val="00114720"/>
    <w:rsid w:val="00116F5D"/>
    <w:rsid w:val="00120F99"/>
    <w:rsid w:val="0012263C"/>
    <w:rsid w:val="00123C6B"/>
    <w:rsid w:val="00125DBA"/>
    <w:rsid w:val="00127B0D"/>
    <w:rsid w:val="0013016E"/>
    <w:rsid w:val="00131BB0"/>
    <w:rsid w:val="00135D24"/>
    <w:rsid w:val="00135E1E"/>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0F85"/>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0E27"/>
    <w:rsid w:val="0020223D"/>
    <w:rsid w:val="0020244C"/>
    <w:rsid w:val="00203597"/>
    <w:rsid w:val="002040D9"/>
    <w:rsid w:val="00204226"/>
    <w:rsid w:val="00204D22"/>
    <w:rsid w:val="002077EB"/>
    <w:rsid w:val="00207827"/>
    <w:rsid w:val="002126EA"/>
    <w:rsid w:val="00213492"/>
    <w:rsid w:val="00217477"/>
    <w:rsid w:val="00217624"/>
    <w:rsid w:val="00217703"/>
    <w:rsid w:val="00221B27"/>
    <w:rsid w:val="0022699A"/>
    <w:rsid w:val="00230EF4"/>
    <w:rsid w:val="00231387"/>
    <w:rsid w:val="00232746"/>
    <w:rsid w:val="0023602C"/>
    <w:rsid w:val="002360F7"/>
    <w:rsid w:val="00236BAD"/>
    <w:rsid w:val="00236CED"/>
    <w:rsid w:val="002417B2"/>
    <w:rsid w:val="00241CBF"/>
    <w:rsid w:val="00242A29"/>
    <w:rsid w:val="00242C26"/>
    <w:rsid w:val="00247471"/>
    <w:rsid w:val="002500AB"/>
    <w:rsid w:val="002543F5"/>
    <w:rsid w:val="00260669"/>
    <w:rsid w:val="0026178D"/>
    <w:rsid w:val="00262611"/>
    <w:rsid w:val="002636F7"/>
    <w:rsid w:val="00267CC5"/>
    <w:rsid w:val="002702DA"/>
    <w:rsid w:val="00270861"/>
    <w:rsid w:val="002716B2"/>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2F7235"/>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6093"/>
    <w:rsid w:val="003C3866"/>
    <w:rsid w:val="003C3BD8"/>
    <w:rsid w:val="003C6824"/>
    <w:rsid w:val="003C6846"/>
    <w:rsid w:val="003C70FC"/>
    <w:rsid w:val="003D134B"/>
    <w:rsid w:val="003D2C4C"/>
    <w:rsid w:val="003D50D8"/>
    <w:rsid w:val="003D5A8E"/>
    <w:rsid w:val="003D64D4"/>
    <w:rsid w:val="003E1142"/>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6989"/>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31BAF"/>
    <w:rsid w:val="00432606"/>
    <w:rsid w:val="00434858"/>
    <w:rsid w:val="004405A2"/>
    <w:rsid w:val="00443478"/>
    <w:rsid w:val="004439AC"/>
    <w:rsid w:val="0044441D"/>
    <w:rsid w:val="004470B3"/>
    <w:rsid w:val="004500B6"/>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1BA"/>
    <w:rsid w:val="0048170D"/>
    <w:rsid w:val="00483C3E"/>
    <w:rsid w:val="00484282"/>
    <w:rsid w:val="004853F6"/>
    <w:rsid w:val="004900C9"/>
    <w:rsid w:val="00491646"/>
    <w:rsid w:val="00491D42"/>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B69F0"/>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6B6B"/>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6D4"/>
    <w:rsid w:val="00577858"/>
    <w:rsid w:val="0058077E"/>
    <w:rsid w:val="00580DCE"/>
    <w:rsid w:val="005827CD"/>
    <w:rsid w:val="00585C5E"/>
    <w:rsid w:val="00586901"/>
    <w:rsid w:val="005877F2"/>
    <w:rsid w:val="00590BDB"/>
    <w:rsid w:val="00592779"/>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6721"/>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15BA"/>
    <w:rsid w:val="00623AF9"/>
    <w:rsid w:val="00632AAF"/>
    <w:rsid w:val="00634A93"/>
    <w:rsid w:val="00635351"/>
    <w:rsid w:val="00635D34"/>
    <w:rsid w:val="00635E2F"/>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937"/>
    <w:rsid w:val="006B6AFB"/>
    <w:rsid w:val="006B7549"/>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6F6BD1"/>
    <w:rsid w:val="00701426"/>
    <w:rsid w:val="007016C0"/>
    <w:rsid w:val="00704466"/>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13C5B"/>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434DB"/>
    <w:rsid w:val="00850462"/>
    <w:rsid w:val="008531BD"/>
    <w:rsid w:val="00853F09"/>
    <w:rsid w:val="00861165"/>
    <w:rsid w:val="00862493"/>
    <w:rsid w:val="00862613"/>
    <w:rsid w:val="00865051"/>
    <w:rsid w:val="00865858"/>
    <w:rsid w:val="0086674A"/>
    <w:rsid w:val="008674AF"/>
    <w:rsid w:val="00867899"/>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0459"/>
    <w:rsid w:val="008C19B5"/>
    <w:rsid w:val="008C288B"/>
    <w:rsid w:val="008C39F7"/>
    <w:rsid w:val="008C4398"/>
    <w:rsid w:val="008C4728"/>
    <w:rsid w:val="008D2063"/>
    <w:rsid w:val="008D26A4"/>
    <w:rsid w:val="008D2A32"/>
    <w:rsid w:val="008D4F10"/>
    <w:rsid w:val="008D6EFD"/>
    <w:rsid w:val="008D7077"/>
    <w:rsid w:val="008E1045"/>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3A0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31B"/>
    <w:rsid w:val="00955D3C"/>
    <w:rsid w:val="00955E00"/>
    <w:rsid w:val="00955E54"/>
    <w:rsid w:val="009563C8"/>
    <w:rsid w:val="00957EAB"/>
    <w:rsid w:val="00962514"/>
    <w:rsid w:val="0096287A"/>
    <w:rsid w:val="0096366F"/>
    <w:rsid w:val="00964628"/>
    <w:rsid w:val="00966C47"/>
    <w:rsid w:val="00967466"/>
    <w:rsid w:val="009709E7"/>
    <w:rsid w:val="009732EC"/>
    <w:rsid w:val="00973A15"/>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B5765"/>
    <w:rsid w:val="009C2487"/>
    <w:rsid w:val="009C4A83"/>
    <w:rsid w:val="009C52A7"/>
    <w:rsid w:val="009C681C"/>
    <w:rsid w:val="009C7BDD"/>
    <w:rsid w:val="009D0B2A"/>
    <w:rsid w:val="009D16D9"/>
    <w:rsid w:val="009D1C36"/>
    <w:rsid w:val="009D3075"/>
    <w:rsid w:val="009E0409"/>
    <w:rsid w:val="009E1AD3"/>
    <w:rsid w:val="009E392C"/>
    <w:rsid w:val="009E5345"/>
    <w:rsid w:val="009E59DD"/>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0FD3"/>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52D50"/>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950"/>
    <w:rsid w:val="00A92A07"/>
    <w:rsid w:val="00A96122"/>
    <w:rsid w:val="00A96E08"/>
    <w:rsid w:val="00A96FB4"/>
    <w:rsid w:val="00AA0159"/>
    <w:rsid w:val="00AA0EEB"/>
    <w:rsid w:val="00AA1A0E"/>
    <w:rsid w:val="00AA35E0"/>
    <w:rsid w:val="00AB232A"/>
    <w:rsid w:val="00AB247E"/>
    <w:rsid w:val="00AB4C83"/>
    <w:rsid w:val="00AB4E39"/>
    <w:rsid w:val="00AB5DD7"/>
    <w:rsid w:val="00AB6548"/>
    <w:rsid w:val="00AB7824"/>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063D3"/>
    <w:rsid w:val="00B10FFD"/>
    <w:rsid w:val="00B11E79"/>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38A9"/>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B7DDF"/>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26A"/>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18D2"/>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13F"/>
    <w:rsid w:val="00CA3D64"/>
    <w:rsid w:val="00CA4F48"/>
    <w:rsid w:val="00CA5430"/>
    <w:rsid w:val="00CA5873"/>
    <w:rsid w:val="00CA62B4"/>
    <w:rsid w:val="00CA6987"/>
    <w:rsid w:val="00CA712B"/>
    <w:rsid w:val="00CA743E"/>
    <w:rsid w:val="00CB20E1"/>
    <w:rsid w:val="00CB264C"/>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12EB"/>
    <w:rsid w:val="00D425EE"/>
    <w:rsid w:val="00D4278D"/>
    <w:rsid w:val="00D44548"/>
    <w:rsid w:val="00D44DB3"/>
    <w:rsid w:val="00D455FD"/>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BA4"/>
    <w:rsid w:val="00D93DD9"/>
    <w:rsid w:val="00D940F7"/>
    <w:rsid w:val="00D962E3"/>
    <w:rsid w:val="00D9660A"/>
    <w:rsid w:val="00DA286F"/>
    <w:rsid w:val="00DA3B3F"/>
    <w:rsid w:val="00DA74D2"/>
    <w:rsid w:val="00DA7E19"/>
    <w:rsid w:val="00DB38AA"/>
    <w:rsid w:val="00DB59EA"/>
    <w:rsid w:val="00DB605F"/>
    <w:rsid w:val="00DB6581"/>
    <w:rsid w:val="00DB6E14"/>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16A4"/>
    <w:rsid w:val="00E221CF"/>
    <w:rsid w:val="00E224AA"/>
    <w:rsid w:val="00E2298F"/>
    <w:rsid w:val="00E22EF2"/>
    <w:rsid w:val="00E238AB"/>
    <w:rsid w:val="00E23AD5"/>
    <w:rsid w:val="00E23E20"/>
    <w:rsid w:val="00E243FC"/>
    <w:rsid w:val="00E249A9"/>
    <w:rsid w:val="00E25207"/>
    <w:rsid w:val="00E25510"/>
    <w:rsid w:val="00E271F4"/>
    <w:rsid w:val="00E27DC6"/>
    <w:rsid w:val="00E30059"/>
    <w:rsid w:val="00E300F2"/>
    <w:rsid w:val="00E3065E"/>
    <w:rsid w:val="00E307B5"/>
    <w:rsid w:val="00E327C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324"/>
    <w:rsid w:val="00E9482C"/>
    <w:rsid w:val="00E957FD"/>
    <w:rsid w:val="00E961FA"/>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C6509"/>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A45"/>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9AE"/>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614B"/>
    <w:rsid w:val="00F97F12"/>
    <w:rsid w:val="00F97F4A"/>
    <w:rsid w:val="00FA1CEB"/>
    <w:rsid w:val="00FA386D"/>
    <w:rsid w:val="00FA4753"/>
    <w:rsid w:val="00FA592F"/>
    <w:rsid w:val="00FA651B"/>
    <w:rsid w:val="00FA740D"/>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C530FF7E-60F2-41FB-A59F-D8ACE4F4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cb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fedresurs.ru"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e-disclosure.ru/" TargetMode="External"/><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kad.arbitr.ru/" TargetMode="External"/><Relationship Id="rId95" Type="http://schemas.openxmlformats.org/officeDocument/2006/relationships/hyperlink" Target="https://kad.arbitr.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oleObject" Target="embeddings/oleObject47.bin"/><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www.moodys.com/"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moex.com/" TargetMode="External"/><Relationship Id="rId91" Type="http://schemas.openxmlformats.org/officeDocument/2006/relationships/hyperlink" Target="https://bankrot.fedresurs.ru"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global.com/ratings/en/research/articles/220413-default-transition-and-recovery-2021-annual-global-corporate-default-and-rating-transition-study-12336975" TargetMode="External"/><Relationship Id="rId94" Type="http://schemas.openxmlformats.org/officeDocument/2006/relationships/hyperlink" Target="http://www.gks.ru/accounting_report" TargetMode="External"/><Relationship Id="rId99" Type="http://schemas.openxmlformats.org/officeDocument/2006/relationships/image" Target="media/image32.wmf"/><Relationship Id="rId10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bankruptcy.kommersant.ru"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BCD1-96DE-451F-BD7B-AA5B96A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26073</Words>
  <Characters>148619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174344</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6</cp:revision>
  <cp:lastPrinted>2023-06-19T12:28:00Z</cp:lastPrinted>
  <dcterms:created xsi:type="dcterms:W3CDTF">2023-06-20T13:43:00Z</dcterms:created>
  <dcterms:modified xsi:type="dcterms:W3CDTF">2023-06-21T13:53:00Z</dcterms:modified>
</cp:coreProperties>
</file>